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225A" w14:textId="77777777" w:rsidR="00457433" w:rsidRPr="0058180D" w:rsidRDefault="00D45076" w:rsidP="00413124">
      <w:pPr>
        <w:widowControl w:val="0"/>
        <w:tabs>
          <w:tab w:val="center" w:pos="4725"/>
        </w:tabs>
        <w:autoSpaceDE w:val="0"/>
        <w:autoSpaceDN w:val="0"/>
        <w:adjustRightInd w:val="0"/>
        <w:spacing w:after="0"/>
        <w:ind w:left="-450" w:right="-540"/>
        <w:rPr>
          <w:rFonts w:cs="Times New Roman"/>
          <w:color w:val="FFFFFF" w:themeColor="background1"/>
          <w:szCs w:val="24"/>
        </w:rPr>
      </w:pPr>
      <w:bookmarkStart w:id="0" w:name="_GoBack"/>
      <w:bookmarkEnd w:id="0"/>
      <w:r w:rsidRPr="0058180D">
        <w:rPr>
          <w:rFonts w:cs="Times New Roman"/>
          <w:noProof/>
          <w:color w:val="FFFFFF" w:themeColor="background1"/>
          <w:szCs w:val="24"/>
        </w:rPr>
        <w:drawing>
          <wp:anchor distT="0" distB="0" distL="114300" distR="114300" simplePos="0" relativeHeight="251659264" behindDoc="1" locked="0" layoutInCell="0" allowOverlap="1" wp14:anchorId="0C08527C" wp14:editId="365126E7">
            <wp:simplePos x="0" y="0"/>
            <wp:positionH relativeFrom="page">
              <wp:posOffset>577850</wp:posOffset>
            </wp:positionH>
            <wp:positionV relativeFrom="page">
              <wp:posOffset>579120</wp:posOffset>
            </wp:positionV>
            <wp:extent cx="6793865" cy="2743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93865" cy="274320"/>
                    </a:xfrm>
                    <a:prstGeom prst="rect">
                      <a:avLst/>
                    </a:prstGeom>
                    <a:noFill/>
                  </pic:spPr>
                </pic:pic>
              </a:graphicData>
            </a:graphic>
            <wp14:sizeRelH relativeFrom="margin">
              <wp14:pctWidth>0</wp14:pctWidth>
            </wp14:sizeRelH>
            <wp14:sizeRelV relativeFrom="margin">
              <wp14:pctHeight>0</wp14:pctHeight>
            </wp14:sizeRelV>
          </wp:anchor>
        </w:drawing>
      </w:r>
      <w:r w:rsidR="00457433" w:rsidRPr="0058180D">
        <w:rPr>
          <w:rFonts w:cs="Times New Roman"/>
          <w:szCs w:val="24"/>
        </w:rPr>
        <w:t xml:space="preserve">       </w:t>
      </w:r>
      <w:r w:rsidR="00457433" w:rsidRPr="0058180D">
        <w:rPr>
          <w:rFonts w:cs="Times New Roman"/>
          <w:color w:val="FFFFFF" w:themeColor="background1"/>
          <w:szCs w:val="24"/>
        </w:rPr>
        <w:t xml:space="preserve">BRIEFING CARD                            </w:t>
      </w:r>
      <w:r w:rsidR="00457433" w:rsidRPr="0058180D">
        <w:rPr>
          <w:rFonts w:cs="Times New Roman"/>
          <w:color w:val="FFFFFF" w:themeColor="background1"/>
          <w:szCs w:val="24"/>
        </w:rPr>
        <w:tab/>
      </w:r>
      <w:r w:rsidR="00457433" w:rsidRPr="0058180D">
        <w:rPr>
          <w:rFonts w:cs="Times New Roman"/>
          <w:color w:val="FFFFFF" w:themeColor="background1"/>
          <w:szCs w:val="24"/>
        </w:rPr>
        <w:tab/>
      </w:r>
      <w:r w:rsidR="00457433" w:rsidRPr="0058180D">
        <w:rPr>
          <w:rFonts w:cs="Times New Roman"/>
          <w:color w:val="FFFFFF" w:themeColor="background1"/>
          <w:szCs w:val="24"/>
        </w:rPr>
        <w:tab/>
      </w:r>
      <w:r w:rsidR="00457433" w:rsidRPr="0058180D">
        <w:rPr>
          <w:rFonts w:cs="Times New Roman"/>
          <w:color w:val="FFFFFF" w:themeColor="background1"/>
          <w:szCs w:val="24"/>
        </w:rPr>
        <w:tab/>
      </w:r>
      <w:r w:rsidR="00457433" w:rsidRPr="0058180D">
        <w:rPr>
          <w:rFonts w:cs="Times New Roman"/>
          <w:color w:val="FFFFFF" w:themeColor="background1"/>
          <w:szCs w:val="24"/>
        </w:rPr>
        <w:tab/>
      </w:r>
      <w:r w:rsidR="00457433" w:rsidRPr="0058180D">
        <w:rPr>
          <w:rFonts w:cs="Times New Roman"/>
          <w:color w:val="FFFFFF" w:themeColor="background1"/>
          <w:szCs w:val="24"/>
        </w:rPr>
        <w:tab/>
      </w:r>
      <w:r w:rsidR="00457433" w:rsidRPr="0058180D">
        <w:rPr>
          <w:rFonts w:cs="Times New Roman"/>
          <w:color w:val="FFFFFF" w:themeColor="background1"/>
          <w:szCs w:val="24"/>
        </w:rPr>
        <w:tab/>
      </w:r>
      <w:r w:rsidR="00002F0E" w:rsidRPr="00481813">
        <w:rPr>
          <w:rFonts w:cs="Times New Roman"/>
          <w:color w:val="FFFFFF" w:themeColor="background1"/>
          <w:szCs w:val="24"/>
        </w:rPr>
        <w:t>July</w:t>
      </w:r>
      <w:r w:rsidR="00847550" w:rsidRPr="00481813">
        <w:rPr>
          <w:rFonts w:cs="Times New Roman"/>
          <w:color w:val="FFFFFF" w:themeColor="background1"/>
          <w:szCs w:val="24"/>
        </w:rPr>
        <w:t xml:space="preserve"> </w:t>
      </w:r>
      <w:r w:rsidR="00481813">
        <w:rPr>
          <w:rFonts w:cs="Times New Roman"/>
          <w:color w:val="FFFFFF" w:themeColor="background1"/>
          <w:szCs w:val="24"/>
        </w:rPr>
        <w:t>1</w:t>
      </w:r>
      <w:r w:rsidR="009C2682">
        <w:rPr>
          <w:rFonts w:cs="Times New Roman"/>
          <w:color w:val="FFFFFF" w:themeColor="background1"/>
          <w:szCs w:val="24"/>
        </w:rPr>
        <w:t>6</w:t>
      </w:r>
      <w:r w:rsidR="006439D7" w:rsidRPr="00481813">
        <w:rPr>
          <w:rFonts w:cs="Times New Roman"/>
          <w:color w:val="FFFFFF" w:themeColor="background1"/>
          <w:szCs w:val="24"/>
        </w:rPr>
        <w:t>, 2018</w:t>
      </w:r>
    </w:p>
    <w:p w14:paraId="508EAC43" w14:textId="77777777" w:rsidR="00D45076" w:rsidRDefault="00D45076" w:rsidP="00413124">
      <w:pPr>
        <w:widowControl w:val="0"/>
        <w:tabs>
          <w:tab w:val="left" w:pos="8380"/>
          <w:tab w:val="left" w:pos="9000"/>
          <w:tab w:val="left" w:pos="9980"/>
        </w:tabs>
        <w:autoSpaceDE w:val="0"/>
        <w:autoSpaceDN w:val="0"/>
        <w:adjustRightInd w:val="0"/>
        <w:spacing w:after="0"/>
        <w:jc w:val="center"/>
        <w:rPr>
          <w:rFonts w:cs="Times New Roman"/>
          <w:b/>
          <w:szCs w:val="24"/>
          <w:u w:val="single"/>
        </w:rPr>
      </w:pPr>
    </w:p>
    <w:p w14:paraId="0C7370D1" w14:textId="77777777" w:rsidR="00921DB4" w:rsidRDefault="00AF5AC0" w:rsidP="00413124">
      <w:pPr>
        <w:widowControl w:val="0"/>
        <w:tabs>
          <w:tab w:val="left" w:pos="8380"/>
          <w:tab w:val="left" w:pos="9000"/>
          <w:tab w:val="left" w:pos="9980"/>
        </w:tabs>
        <w:autoSpaceDE w:val="0"/>
        <w:autoSpaceDN w:val="0"/>
        <w:adjustRightInd w:val="0"/>
        <w:spacing w:after="0"/>
        <w:jc w:val="center"/>
        <w:rPr>
          <w:rFonts w:cs="Times New Roman"/>
          <w:b/>
          <w:szCs w:val="24"/>
          <w:u w:val="single"/>
        </w:rPr>
      </w:pPr>
      <w:r>
        <w:rPr>
          <w:rFonts w:cs="Times New Roman"/>
          <w:b/>
          <w:szCs w:val="24"/>
          <w:u w:val="single"/>
        </w:rPr>
        <w:t>Transferability of Post-9/11 G.I. Bill</w:t>
      </w:r>
      <w:r w:rsidR="00196DAB">
        <w:rPr>
          <w:rFonts w:cs="Times New Roman"/>
          <w:b/>
          <w:szCs w:val="24"/>
          <w:u w:val="single"/>
        </w:rPr>
        <w:t xml:space="preserve"> Update</w:t>
      </w:r>
    </w:p>
    <w:p w14:paraId="43BBB9AC" w14:textId="77777777" w:rsidR="00921DB4" w:rsidRDefault="00921DB4" w:rsidP="005D5598">
      <w:pPr>
        <w:spacing w:after="0"/>
        <w:rPr>
          <w:rFonts w:cs="Times New Roman"/>
          <w:b/>
          <w:szCs w:val="24"/>
        </w:rPr>
      </w:pPr>
    </w:p>
    <w:p w14:paraId="13CEDAB9" w14:textId="77777777" w:rsidR="00921DB4" w:rsidRDefault="00921DB4" w:rsidP="005D5598">
      <w:pPr>
        <w:spacing w:after="0"/>
        <w:rPr>
          <w:rFonts w:cs="Times New Roman"/>
          <w:b/>
          <w:szCs w:val="24"/>
        </w:rPr>
      </w:pPr>
    </w:p>
    <w:p w14:paraId="01A99984" w14:textId="77777777" w:rsidR="005D5598" w:rsidRDefault="005D5598" w:rsidP="00FF2AEE">
      <w:pPr>
        <w:spacing w:after="0"/>
        <w:rPr>
          <w:rFonts w:cs="Times New Roman"/>
          <w:b/>
          <w:sz w:val="22"/>
        </w:rPr>
      </w:pPr>
      <w:r w:rsidRPr="00FF2AEE">
        <w:rPr>
          <w:rFonts w:cs="Times New Roman"/>
          <w:b/>
          <w:sz w:val="22"/>
        </w:rPr>
        <w:t xml:space="preserve">Background </w:t>
      </w:r>
    </w:p>
    <w:p w14:paraId="62731A2B" w14:textId="77777777" w:rsidR="00FF2AEE" w:rsidRPr="00FF2AEE" w:rsidRDefault="00FF2AEE" w:rsidP="00FF2AEE">
      <w:pPr>
        <w:spacing w:after="0"/>
        <w:rPr>
          <w:rFonts w:cs="Times New Roman"/>
          <w:b/>
          <w:sz w:val="22"/>
        </w:rPr>
      </w:pPr>
    </w:p>
    <w:p w14:paraId="74BFCCD2" w14:textId="77777777" w:rsidR="00994B3A" w:rsidRDefault="00196DAB" w:rsidP="00FF2AEE">
      <w:pPr>
        <w:spacing w:after="0"/>
        <w:rPr>
          <w:rFonts w:cs="Times New Roman"/>
          <w:sz w:val="22"/>
        </w:rPr>
      </w:pPr>
      <w:r w:rsidRPr="00FF2AEE">
        <w:rPr>
          <w:rFonts w:eastAsia="Times New Roman" w:cs="Times New Roman"/>
          <w:sz w:val="22"/>
        </w:rPr>
        <w:t xml:space="preserve">NAVADMIN </w:t>
      </w:r>
      <w:r w:rsidR="009C2682" w:rsidRPr="009C2682">
        <w:rPr>
          <w:rFonts w:eastAsia="Times New Roman" w:cs="Times New Roman"/>
          <w:sz w:val="22"/>
        </w:rPr>
        <w:t>170</w:t>
      </w:r>
      <w:r w:rsidRPr="009C2682">
        <w:rPr>
          <w:rFonts w:eastAsia="Times New Roman" w:cs="Times New Roman"/>
          <w:sz w:val="22"/>
        </w:rPr>
        <w:t>/18</w:t>
      </w:r>
      <w:r w:rsidRPr="00FF2AEE">
        <w:rPr>
          <w:rFonts w:cs="Times New Roman"/>
          <w:sz w:val="22"/>
          <w:lang w:val="en"/>
        </w:rPr>
        <w:t xml:space="preserve"> announce</w:t>
      </w:r>
      <w:r w:rsidR="00EC7C02" w:rsidRPr="00FF2AEE">
        <w:rPr>
          <w:rFonts w:cs="Times New Roman"/>
          <w:sz w:val="22"/>
          <w:lang w:val="en"/>
        </w:rPr>
        <w:t>s</w:t>
      </w:r>
      <w:r w:rsidRPr="00FF2AEE">
        <w:rPr>
          <w:rFonts w:cs="Times New Roman"/>
          <w:sz w:val="22"/>
          <w:lang w:val="en"/>
        </w:rPr>
        <w:t xml:space="preserve"> updated </w:t>
      </w:r>
      <w:r w:rsidR="00AF5AC0" w:rsidRPr="00FF2AEE">
        <w:rPr>
          <w:rFonts w:cs="Times New Roman"/>
          <w:sz w:val="22"/>
          <w:lang w:val="en"/>
        </w:rPr>
        <w:t>transferability of Post-9/11 G.I. Bill</w:t>
      </w:r>
      <w:r w:rsidR="00FD7D48" w:rsidRPr="00FF2AEE">
        <w:rPr>
          <w:rFonts w:cs="Times New Roman"/>
          <w:sz w:val="22"/>
          <w:lang w:val="en"/>
        </w:rPr>
        <w:t xml:space="preserve"> </w:t>
      </w:r>
      <w:r w:rsidR="00FD7D48" w:rsidRPr="00FF2AEE">
        <w:rPr>
          <w:rFonts w:cs="Times New Roman"/>
          <w:sz w:val="22"/>
        </w:rPr>
        <w:t xml:space="preserve">educational benefits (TEB) by Sailors to eligible family </w:t>
      </w:r>
      <w:r w:rsidR="009C2682" w:rsidRPr="00FF2AEE">
        <w:rPr>
          <w:rFonts w:cs="Times New Roman"/>
          <w:sz w:val="22"/>
        </w:rPr>
        <w:t>membe</w:t>
      </w:r>
      <w:r w:rsidR="009C2682">
        <w:rPr>
          <w:rFonts w:cs="Times New Roman"/>
          <w:sz w:val="22"/>
        </w:rPr>
        <w:t xml:space="preserve">rs </w:t>
      </w:r>
      <w:r w:rsidRPr="00FF2AEE">
        <w:rPr>
          <w:rFonts w:cs="Times New Roman"/>
          <w:sz w:val="22"/>
        </w:rPr>
        <w:t>polic</w:t>
      </w:r>
      <w:r w:rsidR="009C2682">
        <w:rPr>
          <w:rFonts w:cs="Times New Roman"/>
          <w:sz w:val="22"/>
        </w:rPr>
        <w:t>ies</w:t>
      </w:r>
      <w:r w:rsidR="00AF5AC0" w:rsidRPr="00FF2AEE">
        <w:rPr>
          <w:rFonts w:cs="Times New Roman"/>
          <w:sz w:val="22"/>
        </w:rPr>
        <w:t xml:space="preserve">. </w:t>
      </w:r>
    </w:p>
    <w:p w14:paraId="7D217A7D" w14:textId="77777777" w:rsidR="00AC0088" w:rsidRPr="00AC0088" w:rsidRDefault="00AC0088" w:rsidP="00FF2AEE">
      <w:pPr>
        <w:spacing w:after="0"/>
        <w:rPr>
          <w:rFonts w:cs="Times New Roman"/>
          <w:sz w:val="22"/>
        </w:rPr>
      </w:pPr>
    </w:p>
    <w:p w14:paraId="08650453" w14:textId="77777777" w:rsidR="00251E67" w:rsidRDefault="00A27F25" w:rsidP="00FF2AEE">
      <w:pPr>
        <w:spacing w:after="0"/>
        <w:rPr>
          <w:rFonts w:cs="Times New Roman"/>
          <w:sz w:val="22"/>
        </w:rPr>
      </w:pPr>
      <w:r w:rsidRPr="00AC0088">
        <w:rPr>
          <w:rFonts w:cs="Times New Roman"/>
          <w:bCs/>
          <w:sz w:val="22"/>
        </w:rPr>
        <w:t>Effective one year from the date of this change, eligibility to transfer</w:t>
      </w:r>
      <w:r w:rsidRPr="00FF2AEE">
        <w:rPr>
          <w:rFonts w:cs="Times New Roman"/>
          <w:b/>
          <w:bCs/>
          <w:sz w:val="22"/>
        </w:rPr>
        <w:t xml:space="preserve"> </w:t>
      </w:r>
      <w:r w:rsidRPr="00FF2AEE">
        <w:rPr>
          <w:rFonts w:cs="Times New Roman"/>
          <w:sz w:val="22"/>
        </w:rPr>
        <w:t xml:space="preserve">Post-9/11 GI Bill education benefits will be limited to service members with at least six years, but not more than 16 years, of total creditable service. </w:t>
      </w:r>
    </w:p>
    <w:p w14:paraId="2663A1D2" w14:textId="77777777" w:rsidR="00AC0088" w:rsidRDefault="00AC0088" w:rsidP="00FF2AEE">
      <w:pPr>
        <w:spacing w:after="0"/>
        <w:rPr>
          <w:rFonts w:cs="Times New Roman"/>
          <w:sz w:val="22"/>
        </w:rPr>
      </w:pPr>
    </w:p>
    <w:p w14:paraId="5743BB92" w14:textId="77777777" w:rsidR="00AC0088" w:rsidRDefault="00AC0088" w:rsidP="00AC0088">
      <w:pPr>
        <w:spacing w:after="0"/>
        <w:rPr>
          <w:rFonts w:cs="Times New Roman"/>
          <w:sz w:val="22"/>
        </w:rPr>
      </w:pPr>
      <w:r w:rsidRPr="004B2D58">
        <w:t xml:space="preserve">The Post-9/11 GI Bill is a benefit offered to Service members during a time of conflict.  The ability to transfer the Post-9/11 education benefit to family members, </w:t>
      </w:r>
      <w:r>
        <w:t>[</w:t>
      </w:r>
      <w:r w:rsidRPr="00FB2270">
        <w:rPr>
          <w:i/>
        </w:rPr>
        <w:t>as specified in section 3319(a)(2), title 38, U.S. Code,</w:t>
      </w:r>
      <w:r>
        <w:t>]</w:t>
      </w:r>
      <w:r w:rsidRPr="004B2D58">
        <w:t xml:space="preserve"> was enacted by Congress to “promote recruitment and retention in the uniformed services.”  Department policy regarding this benefit are prescribed in Department of Defense Instruction DODI 1341.13, "Post-9/11 GI Bill" (May 31, 2013, as amended). </w:t>
      </w:r>
      <w:r w:rsidRPr="004B2D58">
        <w:rPr>
          <w:iCs/>
          <w:sz w:val="23"/>
          <w:szCs w:val="23"/>
        </w:rPr>
        <w:t>This DoDI is available on the DoD Issuances Website at http://www.esd.whs.mil/DD/.</w:t>
      </w:r>
    </w:p>
    <w:p w14:paraId="5C7FB86A" w14:textId="77777777" w:rsidR="00AC0088" w:rsidRDefault="00AC0088" w:rsidP="00FF2AEE">
      <w:pPr>
        <w:spacing w:after="0"/>
        <w:rPr>
          <w:rFonts w:cs="Times New Roman"/>
          <w:sz w:val="22"/>
        </w:rPr>
      </w:pPr>
    </w:p>
    <w:p w14:paraId="2AD29553" w14:textId="77777777" w:rsidR="000F5C82" w:rsidRPr="00FF2AEE" w:rsidRDefault="000F5C82" w:rsidP="00FF2AEE">
      <w:pPr>
        <w:spacing w:after="0"/>
        <w:rPr>
          <w:rFonts w:eastAsia="Calibri" w:cs="Times New Roman"/>
          <w:b/>
          <w:sz w:val="22"/>
        </w:rPr>
      </w:pPr>
      <w:r w:rsidRPr="00FF2AEE">
        <w:rPr>
          <w:rFonts w:eastAsia="Calibri" w:cs="Times New Roman"/>
          <w:b/>
          <w:sz w:val="22"/>
        </w:rPr>
        <w:t>Key Messages</w:t>
      </w:r>
    </w:p>
    <w:p w14:paraId="6BB74A52" w14:textId="77777777" w:rsidR="00994B3A" w:rsidRPr="00FF2AEE" w:rsidRDefault="00994B3A" w:rsidP="00FF2AEE">
      <w:pPr>
        <w:spacing w:after="0"/>
        <w:rPr>
          <w:rFonts w:eastAsia="Calibri" w:cs="Times New Roman"/>
          <w:b/>
          <w:sz w:val="22"/>
        </w:rPr>
      </w:pPr>
    </w:p>
    <w:p w14:paraId="71AB1C54" w14:textId="77777777" w:rsidR="00994B3A" w:rsidRPr="00FF2AEE" w:rsidRDefault="00994B3A" w:rsidP="00FF2AEE">
      <w:pPr>
        <w:pStyle w:val="Default"/>
        <w:rPr>
          <w:rFonts w:eastAsia="Times New Roman"/>
          <w:sz w:val="22"/>
          <w:szCs w:val="22"/>
        </w:rPr>
      </w:pPr>
      <w:r w:rsidRPr="00FF2AEE">
        <w:rPr>
          <w:rFonts w:eastAsia="Times New Roman"/>
          <w:sz w:val="22"/>
          <w:szCs w:val="22"/>
        </w:rPr>
        <w:t xml:space="preserve">The Department of Defense has updated </w:t>
      </w:r>
      <w:r w:rsidR="00785798" w:rsidRPr="00FF2AEE">
        <w:rPr>
          <w:sz w:val="22"/>
          <w:szCs w:val="22"/>
        </w:rPr>
        <w:t>DoDI</w:t>
      </w:r>
      <w:r w:rsidRPr="00FF2AEE">
        <w:rPr>
          <w:sz w:val="22"/>
          <w:szCs w:val="22"/>
        </w:rPr>
        <w:t xml:space="preserve"> 1341.13 Change 1, POST 9-11 GI BILL</w:t>
      </w:r>
      <w:r w:rsidRPr="00FF2AEE">
        <w:rPr>
          <w:rFonts w:eastAsia="Times New Roman"/>
          <w:sz w:val="22"/>
          <w:szCs w:val="22"/>
        </w:rPr>
        <w:t xml:space="preserve"> to reinforce the </w:t>
      </w:r>
      <w:r w:rsidR="00785798" w:rsidRPr="00FF2AEE">
        <w:rPr>
          <w:rFonts w:eastAsia="Times New Roman"/>
          <w:sz w:val="22"/>
          <w:szCs w:val="22"/>
        </w:rPr>
        <w:t>transfer of education benefits</w:t>
      </w:r>
      <w:r w:rsidRPr="00FF2AEE">
        <w:rPr>
          <w:rFonts w:eastAsia="Times New Roman"/>
          <w:sz w:val="22"/>
          <w:szCs w:val="22"/>
        </w:rPr>
        <w:t xml:space="preserve"> as a retention incentive that requires members to be eligible for and agree to serve 4 additional years of service on active duty or in the selected reserve beyond the date they elect to transfer their benefits.  Members must complete the full 4-year service obligation to retain TEB unless involuntarily separated</w:t>
      </w:r>
    </w:p>
    <w:p w14:paraId="4C6ABC20" w14:textId="77777777" w:rsidR="00994B3A" w:rsidRPr="00FF2AEE" w:rsidRDefault="00994B3A" w:rsidP="00FF2AEE">
      <w:pPr>
        <w:spacing w:after="0"/>
        <w:rPr>
          <w:rFonts w:eastAsia="Calibri" w:cs="Times New Roman"/>
          <w:b/>
          <w:sz w:val="22"/>
        </w:rPr>
      </w:pPr>
    </w:p>
    <w:p w14:paraId="35BFE9F9" w14:textId="77777777" w:rsidR="00B56CB6" w:rsidRDefault="00B56CB6" w:rsidP="00FF2AEE">
      <w:pPr>
        <w:pStyle w:val="Default"/>
        <w:rPr>
          <w:sz w:val="22"/>
          <w:szCs w:val="22"/>
        </w:rPr>
      </w:pPr>
      <w:r w:rsidRPr="00FF2AEE">
        <w:rPr>
          <w:b/>
          <w:bCs/>
          <w:sz w:val="22"/>
          <w:szCs w:val="22"/>
        </w:rPr>
        <w:t xml:space="preserve">Effective one year from the date of this change, eligibility to transfer </w:t>
      </w:r>
      <w:r w:rsidRPr="00FF2AEE">
        <w:rPr>
          <w:sz w:val="22"/>
          <w:szCs w:val="22"/>
        </w:rPr>
        <w:t xml:space="preserve">Post-9/11 GI Bill education benefits will be limited to service members with at least six years, but not more than 16 years, of total creditable service. There is no change to current provisions requiring service member to having at least six years of service to apply to transfer benefits, and making a four-year commitment in the Armed Forces. </w:t>
      </w:r>
    </w:p>
    <w:p w14:paraId="1E7FC0D6" w14:textId="77777777" w:rsidR="005D3184" w:rsidRDefault="005D3184" w:rsidP="00FF2AEE">
      <w:pPr>
        <w:pStyle w:val="Default"/>
        <w:rPr>
          <w:sz w:val="22"/>
          <w:szCs w:val="22"/>
        </w:rPr>
      </w:pPr>
    </w:p>
    <w:p w14:paraId="2615A13E" w14:textId="77777777" w:rsidR="005D3184" w:rsidRPr="00A65B46" w:rsidRDefault="005D3184" w:rsidP="005D3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sz w:val="22"/>
        </w:rPr>
      </w:pPr>
      <w:r w:rsidRPr="00A65B46">
        <w:rPr>
          <w:rFonts w:eastAsia="Times New Roman" w:cs="Times New Roman"/>
          <w:b/>
          <w:sz w:val="22"/>
        </w:rPr>
        <w:t xml:space="preserve">Service members with more than 16 years of credible service who have not completed the transfer eligibility by July 12, 2019 will not retain the ability to transfer education benefits to eligible family members.  </w:t>
      </w:r>
    </w:p>
    <w:p w14:paraId="26D796A6" w14:textId="77777777" w:rsidR="005D3184" w:rsidRDefault="005D3184" w:rsidP="00FF2AEE">
      <w:pPr>
        <w:pStyle w:val="Default"/>
        <w:rPr>
          <w:sz w:val="22"/>
          <w:szCs w:val="22"/>
        </w:rPr>
      </w:pPr>
    </w:p>
    <w:p w14:paraId="37BB30F4" w14:textId="77777777" w:rsidR="00994B3A" w:rsidRPr="00FF2AEE" w:rsidRDefault="00994B3A" w:rsidP="00FF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FF2AEE">
        <w:rPr>
          <w:rFonts w:eastAsia="Times New Roman" w:cs="Times New Roman"/>
          <w:sz w:val="22"/>
        </w:rPr>
        <w:t>Failure to complete this obligation will result in the amount of any transferred entitlement that is used as of the date of such failure being treated as an overpayment of educational assistance and shall be subject to collection by the Department of Veterans Affairs.</w:t>
      </w:r>
    </w:p>
    <w:p w14:paraId="2351C188" w14:textId="77777777" w:rsidR="00994B3A" w:rsidRPr="00FF2AEE" w:rsidRDefault="00994B3A" w:rsidP="00FF2AEE">
      <w:pPr>
        <w:pStyle w:val="Default"/>
        <w:rPr>
          <w:rFonts w:eastAsia="Times New Roman"/>
          <w:sz w:val="22"/>
          <w:szCs w:val="22"/>
        </w:rPr>
      </w:pPr>
    </w:p>
    <w:p w14:paraId="127A3D6D" w14:textId="77777777" w:rsidR="005D5598" w:rsidRPr="00FF2AEE" w:rsidRDefault="005D5598" w:rsidP="00FF2AEE">
      <w:pPr>
        <w:spacing w:after="0"/>
        <w:rPr>
          <w:rFonts w:eastAsia="Calibri" w:cs="Times New Roman"/>
          <w:b/>
          <w:sz w:val="22"/>
        </w:rPr>
      </w:pPr>
      <w:r w:rsidRPr="00FF2AEE">
        <w:rPr>
          <w:rFonts w:eastAsia="Calibri" w:cs="Times New Roman"/>
          <w:b/>
          <w:sz w:val="22"/>
        </w:rPr>
        <w:t>Talking Points</w:t>
      </w:r>
    </w:p>
    <w:p w14:paraId="769328DB" w14:textId="77777777" w:rsidR="00FF2AEE" w:rsidRPr="00FF2AEE" w:rsidRDefault="00FF2AEE" w:rsidP="00ED4D92">
      <w:pPr>
        <w:spacing w:after="0"/>
        <w:rPr>
          <w:rFonts w:eastAsia="Calibri" w:cs="Times New Roman"/>
          <w:b/>
          <w:sz w:val="22"/>
        </w:rPr>
      </w:pPr>
    </w:p>
    <w:p w14:paraId="0693447C" w14:textId="77777777" w:rsidR="00FF2AEE" w:rsidRDefault="00FF2AEE" w:rsidP="00ED4D9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Pr>
          <w:rFonts w:eastAsia="Times New Roman" w:cs="Times New Roman"/>
          <w:sz w:val="22"/>
        </w:rPr>
        <w:t xml:space="preserve">Effective immediately, </w:t>
      </w:r>
      <w:r w:rsidRPr="00FF2AEE">
        <w:rPr>
          <w:rFonts w:eastAsia="Times New Roman" w:cs="Times New Roman"/>
          <w:sz w:val="22"/>
        </w:rPr>
        <w:t>all members requesting to transfer unused education benefits to eligible dependents must meet eligibility requirements to serve 4 additional years on active duty or in the selected reserve from the date of election in DMDC milConnect.</w:t>
      </w:r>
    </w:p>
    <w:p w14:paraId="5AB70450" w14:textId="77777777" w:rsidR="00FF2AEE" w:rsidRDefault="00FF2AEE" w:rsidP="00ED4D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p>
    <w:p w14:paraId="3A2D64E7" w14:textId="77777777" w:rsidR="00785798" w:rsidRDefault="00785798" w:rsidP="00ED4D9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FF2AEE">
        <w:rPr>
          <w:rFonts w:eastAsia="Times New Roman" w:cs="Times New Roman"/>
          <w:sz w:val="22"/>
        </w:rPr>
        <w:t>Former exceptions that permitted individuals with at least ten years of service to obligate less than four years of service if precluded by statute or standard policy (Department of Defense of Service) in return for TEB are cancelled.</w:t>
      </w:r>
    </w:p>
    <w:p w14:paraId="7A84C4B6" w14:textId="77777777" w:rsidR="00FF2AEE" w:rsidRPr="00FF2AEE" w:rsidRDefault="00FF2AEE" w:rsidP="00ED4D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p>
    <w:p w14:paraId="527B6F4E" w14:textId="77777777" w:rsidR="00FF2AEE" w:rsidRDefault="00FF2AEE" w:rsidP="00ED4D9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FF2AEE">
        <w:rPr>
          <w:rFonts w:eastAsia="Times New Roman" w:cs="Times New Roman"/>
          <w:sz w:val="22"/>
        </w:rPr>
        <w:t xml:space="preserve">Changes listed in this NAVADMIN do not impact Sailors whose TEB applications submitted in the Defense Manpower Data Center (DMDC) milConnect web portal at </w:t>
      </w:r>
      <w:hyperlink r:id="rId12" w:history="1">
        <w:r w:rsidRPr="00FF2AEE">
          <w:rPr>
            <w:rStyle w:val="Hyperlink"/>
            <w:rFonts w:eastAsia="Times New Roman" w:cs="Times New Roman"/>
            <w:sz w:val="22"/>
          </w:rPr>
          <w:t>https://milconnect.dmdc.osd.mil</w:t>
        </w:r>
      </w:hyperlink>
      <w:r w:rsidRPr="00FF2AEE">
        <w:rPr>
          <w:rFonts w:eastAsia="Times New Roman" w:cs="Times New Roman"/>
          <w:sz w:val="22"/>
        </w:rPr>
        <w:t>, have been approved.</w:t>
      </w:r>
    </w:p>
    <w:p w14:paraId="6469E078" w14:textId="77777777" w:rsidR="00FF2AEE" w:rsidRPr="00FF2AEE" w:rsidRDefault="00FF2AEE" w:rsidP="00ED4D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p>
    <w:p w14:paraId="4CD55354" w14:textId="77777777" w:rsidR="00785798" w:rsidRDefault="00785798" w:rsidP="00ED4D9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FF2AEE">
        <w:rPr>
          <w:rFonts w:eastAsia="Times New Roman" w:cs="Times New Roman"/>
          <w:sz w:val="22"/>
        </w:rPr>
        <w:t xml:space="preserve">Documentation of additional service obligation requirements found in </w:t>
      </w:r>
      <w:r w:rsidR="00FF2AEE" w:rsidRPr="00FF2AEE">
        <w:rPr>
          <w:rFonts w:cs="Times New Roman"/>
          <w:sz w:val="22"/>
        </w:rPr>
        <w:t>OPNAVINST 1780.4, POST 9-11 GI BILL</w:t>
      </w:r>
      <w:r w:rsidR="00FF2AEE" w:rsidRPr="00FF2AEE">
        <w:rPr>
          <w:rFonts w:eastAsia="Times New Roman" w:cs="Times New Roman"/>
          <w:sz w:val="22"/>
        </w:rPr>
        <w:t xml:space="preserve"> </w:t>
      </w:r>
      <w:r w:rsidRPr="00FF2AEE">
        <w:rPr>
          <w:rFonts w:eastAsia="Times New Roman" w:cs="Times New Roman"/>
          <w:sz w:val="22"/>
        </w:rPr>
        <w:t xml:space="preserve">and </w:t>
      </w:r>
      <w:r w:rsidR="00FF2AEE" w:rsidRPr="00FF2AEE">
        <w:rPr>
          <w:rFonts w:cs="Times New Roman"/>
          <w:sz w:val="22"/>
        </w:rPr>
        <w:t>BUPERSNOTE 1780, POST 9-11 GI BILL</w:t>
      </w:r>
      <w:r w:rsidRPr="00FF2AEE">
        <w:rPr>
          <w:rFonts w:eastAsia="Times New Roman" w:cs="Times New Roman"/>
          <w:sz w:val="22"/>
        </w:rPr>
        <w:t xml:space="preserve"> remain unchanged.</w:t>
      </w:r>
    </w:p>
    <w:p w14:paraId="2EEAA165" w14:textId="77777777" w:rsidR="00FF2AEE" w:rsidRPr="00FF2AEE" w:rsidRDefault="00FF2AEE" w:rsidP="00ED4D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p>
    <w:p w14:paraId="7A3E7E66" w14:textId="77777777" w:rsidR="00785798" w:rsidRDefault="00785798" w:rsidP="00ED4D9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FF2AEE">
        <w:rPr>
          <w:rFonts w:eastAsia="Times New Roman" w:cs="Times New Roman"/>
          <w:sz w:val="22"/>
        </w:rPr>
        <w:t>Effective 12 July 2019, TEB will only be available for members with at least 6 years of service up to a maximum of 16 years of service who are eligible for and agree to 4 additional years of service beyond the date they elect to transfer their benefits.</w:t>
      </w:r>
    </w:p>
    <w:p w14:paraId="4A83FFAC" w14:textId="77777777" w:rsidR="00095D9E" w:rsidRPr="00095D9E" w:rsidRDefault="00095D9E" w:rsidP="00095D9E">
      <w:pPr>
        <w:pStyle w:val="ListParagraph"/>
        <w:rPr>
          <w:rFonts w:eastAsia="Times New Roman" w:cs="Times New Roman"/>
          <w:sz w:val="22"/>
        </w:rPr>
      </w:pPr>
    </w:p>
    <w:p w14:paraId="44F443A0" w14:textId="77777777" w:rsidR="005D3184" w:rsidRDefault="005D3184" w:rsidP="005D3184">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5D3184">
        <w:rPr>
          <w:rFonts w:eastAsia="Times New Roman" w:cs="Times New Roman"/>
          <w:sz w:val="22"/>
        </w:rPr>
        <w:t xml:space="preserve">Service members with more than 16 years of credible service who have not completed the transfer eligibility by July 12, 2019 will not retain the ability to transfer education benefits to eligible family members.  </w:t>
      </w:r>
    </w:p>
    <w:p w14:paraId="69D3184E" w14:textId="77777777" w:rsidR="005D3184" w:rsidRPr="005D3184" w:rsidRDefault="005D3184" w:rsidP="005D3184">
      <w:pPr>
        <w:pStyle w:val="ListParagraph"/>
        <w:rPr>
          <w:rFonts w:eastAsia="Times New Roman" w:cs="Times New Roman"/>
          <w:sz w:val="22"/>
        </w:rPr>
      </w:pPr>
    </w:p>
    <w:p w14:paraId="6258579A" w14:textId="77777777" w:rsidR="00785798" w:rsidRDefault="00785798" w:rsidP="00ED4D92">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r w:rsidRPr="00FF2AEE">
        <w:rPr>
          <w:rFonts w:eastAsia="Times New Roman" w:cs="Times New Roman"/>
          <w:sz w:val="22"/>
        </w:rPr>
        <w:t xml:space="preserve">Part 2 of this change will announce updates to streamline the TEB submission procedures.        </w:t>
      </w:r>
    </w:p>
    <w:p w14:paraId="7225A508" w14:textId="77777777" w:rsidR="00FF2AEE" w:rsidRPr="00FF2AEE" w:rsidRDefault="00FF2AEE" w:rsidP="00ED4D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 w:val="22"/>
        </w:rPr>
      </w:pPr>
    </w:p>
    <w:p w14:paraId="293907F0" w14:textId="77777777" w:rsidR="0030039C" w:rsidRPr="00AC0088" w:rsidRDefault="00002F0E" w:rsidP="00ED4D92">
      <w:pPr>
        <w:pStyle w:val="ListParagraph"/>
        <w:numPr>
          <w:ilvl w:val="0"/>
          <w:numId w:val="12"/>
        </w:numPr>
        <w:spacing w:after="0"/>
        <w:rPr>
          <w:rFonts w:eastAsia="Calibri" w:cs="Times New Roman"/>
          <w:sz w:val="22"/>
        </w:rPr>
      </w:pPr>
      <w:r w:rsidRPr="00FF2AEE">
        <w:rPr>
          <w:rFonts w:cs="Times New Roman"/>
          <w:sz w:val="22"/>
        </w:rPr>
        <w:t xml:space="preserve">For complete guidance on the uniform policy and points of contacts for questions, see </w:t>
      </w:r>
      <w:r w:rsidRPr="009C2682">
        <w:rPr>
          <w:rFonts w:cs="Times New Roman"/>
          <w:sz w:val="22"/>
        </w:rPr>
        <w:t>NAVADMI</w:t>
      </w:r>
      <w:r w:rsidR="00785798" w:rsidRPr="009C2682">
        <w:rPr>
          <w:rFonts w:cs="Times New Roman"/>
          <w:sz w:val="22"/>
        </w:rPr>
        <w:t xml:space="preserve">N </w:t>
      </w:r>
      <w:r w:rsidR="009C2682" w:rsidRPr="009C2682">
        <w:rPr>
          <w:rFonts w:cs="Times New Roman"/>
          <w:sz w:val="22"/>
        </w:rPr>
        <w:t>170</w:t>
      </w:r>
      <w:r w:rsidRPr="009C2682">
        <w:rPr>
          <w:rFonts w:cs="Times New Roman"/>
          <w:sz w:val="22"/>
        </w:rPr>
        <w:t>/18</w:t>
      </w:r>
      <w:r w:rsidRPr="00FF2AEE">
        <w:rPr>
          <w:rFonts w:cs="Times New Roman"/>
          <w:sz w:val="22"/>
        </w:rPr>
        <w:t xml:space="preserve"> at </w:t>
      </w:r>
      <w:hyperlink r:id="rId13" w:history="1">
        <w:r w:rsidR="00A27F25" w:rsidRPr="00FF2AEE">
          <w:rPr>
            <w:rStyle w:val="Hyperlink"/>
            <w:rFonts w:cs="Times New Roman"/>
            <w:sz w:val="22"/>
          </w:rPr>
          <w:t>www.npc.navy.mil</w:t>
        </w:r>
      </w:hyperlink>
      <w:r w:rsidRPr="00FF2AEE">
        <w:rPr>
          <w:rFonts w:cs="Times New Roman"/>
          <w:sz w:val="22"/>
        </w:rPr>
        <w:t>.</w:t>
      </w:r>
    </w:p>
    <w:p w14:paraId="0BF2488C" w14:textId="77777777" w:rsidR="00AC0088" w:rsidRPr="00AC0088" w:rsidRDefault="00AC0088" w:rsidP="00AC0088">
      <w:pPr>
        <w:pStyle w:val="ListParagraph"/>
        <w:rPr>
          <w:rFonts w:eastAsia="Calibri" w:cs="Times New Roman"/>
          <w:sz w:val="22"/>
        </w:rPr>
      </w:pPr>
    </w:p>
    <w:p w14:paraId="68D5EBD6" w14:textId="77777777" w:rsidR="00AC0088" w:rsidRPr="00AC0088" w:rsidRDefault="00AC0088" w:rsidP="00AC0088">
      <w:pPr>
        <w:spacing w:after="0"/>
        <w:rPr>
          <w:rFonts w:eastAsia="Calibri" w:cs="Times New Roman"/>
          <w:b/>
          <w:sz w:val="22"/>
        </w:rPr>
      </w:pPr>
      <w:r w:rsidRPr="00AC0088">
        <w:rPr>
          <w:rFonts w:eastAsia="Calibri" w:cs="Times New Roman"/>
          <w:b/>
          <w:sz w:val="22"/>
        </w:rPr>
        <w:t>Q/A</w:t>
      </w:r>
    </w:p>
    <w:p w14:paraId="71C56DCB" w14:textId="77777777" w:rsidR="00A27F25" w:rsidRDefault="009C2682" w:rsidP="009C2682">
      <w:pPr>
        <w:tabs>
          <w:tab w:val="left" w:pos="5760"/>
        </w:tabs>
        <w:spacing w:after="0"/>
        <w:rPr>
          <w:rFonts w:eastAsia="Calibri" w:cs="Times New Roman"/>
          <w:szCs w:val="24"/>
        </w:rPr>
      </w:pPr>
      <w:r>
        <w:rPr>
          <w:rFonts w:eastAsia="Calibri" w:cs="Times New Roman"/>
          <w:szCs w:val="24"/>
        </w:rPr>
        <w:tab/>
      </w:r>
    </w:p>
    <w:p w14:paraId="3E120B05" w14:textId="77777777" w:rsidR="00AC0088" w:rsidRPr="00ED4D92" w:rsidRDefault="00AC0088" w:rsidP="00AC0088">
      <w:pPr>
        <w:rPr>
          <w:b/>
          <w:sz w:val="22"/>
        </w:rPr>
      </w:pPr>
      <w:r w:rsidRPr="00ED4D92">
        <w:rPr>
          <w:b/>
          <w:sz w:val="22"/>
        </w:rPr>
        <w:t>Q1:  When will the changes to the DoDI take effect?</w:t>
      </w:r>
    </w:p>
    <w:p w14:paraId="553D8579" w14:textId="77777777" w:rsidR="00AC0088" w:rsidRPr="00ED4D92" w:rsidRDefault="00AC0088" w:rsidP="00AC0088">
      <w:pPr>
        <w:rPr>
          <w:sz w:val="22"/>
        </w:rPr>
      </w:pPr>
      <w:r w:rsidRPr="00ED4D92">
        <w:rPr>
          <w:sz w:val="22"/>
        </w:rPr>
        <w:t xml:space="preserve">A1:   To assist the Uniformed Services in complying with this instruction, </w:t>
      </w:r>
      <w:r w:rsidRPr="00ED4D92">
        <w:rPr>
          <w:bCs/>
          <w:sz w:val="22"/>
        </w:rPr>
        <w:t>the military departments, USCG, NOAA, and USPHS will have one year from the date of this change to implement most of the amended requirements in this issuance, with these exceptions</w:t>
      </w:r>
      <w:r w:rsidRPr="00ED4D92">
        <w:rPr>
          <w:sz w:val="22"/>
        </w:rPr>
        <w:t>:</w:t>
      </w:r>
    </w:p>
    <w:p w14:paraId="343657D0" w14:textId="77777777" w:rsidR="00AC0088" w:rsidRPr="00ED4D92" w:rsidRDefault="00AC0088" w:rsidP="00ED4D92">
      <w:pPr>
        <w:pStyle w:val="PlainText"/>
        <w:numPr>
          <w:ilvl w:val="0"/>
          <w:numId w:val="18"/>
        </w:numPr>
        <w:ind w:left="720"/>
        <w:rPr>
          <w:rFonts w:ascii="Times New Roman" w:eastAsia="Times New Roman" w:hAnsi="Times New Roman" w:cs="Times New Roman"/>
          <w:szCs w:val="22"/>
        </w:rPr>
      </w:pPr>
      <w:r w:rsidRPr="00ED4D92">
        <w:rPr>
          <w:rFonts w:ascii="Times New Roman" w:eastAsia="Times New Roman" w:hAnsi="Times New Roman" w:cs="Times New Roman"/>
          <w:szCs w:val="22"/>
        </w:rPr>
        <w:lastRenderedPageBreak/>
        <w:t xml:space="preserve">Military departments, the USCG, NOAA, and USPHS will provide their guidance implementing transferability, as well as their written force training and education plans, no later than 60 days after publication of the revised DoD Instruction.  </w:t>
      </w:r>
    </w:p>
    <w:p w14:paraId="23D38CC6" w14:textId="77777777" w:rsidR="00AC0088" w:rsidRPr="00ED4D92" w:rsidRDefault="00AC0088" w:rsidP="00ED4D92">
      <w:pPr>
        <w:pStyle w:val="PlainText"/>
        <w:ind w:left="720"/>
        <w:rPr>
          <w:rFonts w:ascii="Times New Roman" w:eastAsia="Times New Roman" w:hAnsi="Times New Roman" w:cs="Times New Roman"/>
          <w:szCs w:val="22"/>
        </w:rPr>
      </w:pPr>
    </w:p>
    <w:p w14:paraId="05CC42FA" w14:textId="77777777" w:rsidR="00AC0088" w:rsidRPr="00ED4D92" w:rsidRDefault="00AC0088" w:rsidP="00ED4D92">
      <w:pPr>
        <w:pStyle w:val="PlainText"/>
        <w:numPr>
          <w:ilvl w:val="0"/>
          <w:numId w:val="18"/>
        </w:numPr>
        <w:ind w:left="720"/>
        <w:rPr>
          <w:rFonts w:ascii="Times New Roman" w:eastAsia="Times New Roman" w:hAnsi="Times New Roman" w:cs="Times New Roman"/>
          <w:szCs w:val="22"/>
        </w:rPr>
      </w:pPr>
      <w:r w:rsidRPr="00ED4D92">
        <w:rPr>
          <w:rFonts w:ascii="Times New Roman" w:eastAsia="Times New Roman" w:hAnsi="Times New Roman" w:cs="Times New Roman"/>
          <w:szCs w:val="22"/>
        </w:rPr>
        <w:t xml:space="preserve">Effective immediately, service members must be eligible to be retained for 4 years from the date of election and not be precluded, prior to approval, by either standard policy (DoD/DHS, military department or military service) or statute.    </w:t>
      </w:r>
    </w:p>
    <w:p w14:paraId="08322965" w14:textId="77777777" w:rsidR="00AC0088" w:rsidRPr="00ED4D92" w:rsidRDefault="00AC0088" w:rsidP="00ED4D92">
      <w:pPr>
        <w:pStyle w:val="PlainText"/>
        <w:ind w:left="720"/>
        <w:rPr>
          <w:rFonts w:ascii="Times New Roman" w:eastAsia="Times New Roman" w:hAnsi="Times New Roman" w:cs="Times New Roman"/>
          <w:szCs w:val="22"/>
        </w:rPr>
      </w:pPr>
    </w:p>
    <w:p w14:paraId="076AC07E" w14:textId="77777777" w:rsidR="00AC0088" w:rsidRPr="00ED4D92" w:rsidRDefault="00AC0088" w:rsidP="00ED4D92">
      <w:pPr>
        <w:pStyle w:val="PlainText"/>
        <w:numPr>
          <w:ilvl w:val="0"/>
          <w:numId w:val="18"/>
        </w:numPr>
        <w:ind w:left="720"/>
        <w:rPr>
          <w:rFonts w:ascii="Times New Roman" w:eastAsia="Times New Roman" w:hAnsi="Times New Roman" w:cs="Times New Roman"/>
          <w:szCs w:val="22"/>
        </w:rPr>
      </w:pPr>
      <w:r w:rsidRPr="00ED4D92">
        <w:rPr>
          <w:rFonts w:ascii="Times New Roman" w:eastAsia="Times New Roman" w:hAnsi="Times New Roman" w:cs="Times New Roman"/>
          <w:szCs w:val="22"/>
        </w:rPr>
        <w:t>Service members separated under “force shaping” authorities and policies prior to completing their required four years of service resulting from the transfer of educational benefits retain their eligibility to transfer benefits.  Effective immediately, the scope of “force shaping” was expanded to expressly include officers involuntarily separated as a result of being twice passed over for promotion, and enlisted personnel who were involuntarily separated as a result of failure to meet minimum retention standards, or because of a change in these policies.</w:t>
      </w:r>
    </w:p>
    <w:p w14:paraId="2567491D" w14:textId="77777777" w:rsidR="00AC0088" w:rsidRPr="00ED4D92" w:rsidRDefault="00AC0088" w:rsidP="00AC0088">
      <w:pPr>
        <w:pStyle w:val="ListParagraph"/>
        <w:rPr>
          <w:rFonts w:eastAsia="Times New Roman" w:cs="Times New Roman"/>
          <w:sz w:val="22"/>
        </w:rPr>
      </w:pPr>
    </w:p>
    <w:p w14:paraId="066C9EE0" w14:textId="77777777" w:rsidR="00AC0088" w:rsidRPr="00ED4D92" w:rsidRDefault="00AC0088" w:rsidP="00AC0088">
      <w:pPr>
        <w:spacing w:after="0"/>
        <w:rPr>
          <w:rFonts w:eastAsia="Times New Roman" w:cs="Times New Roman"/>
          <w:b/>
          <w:sz w:val="22"/>
        </w:rPr>
      </w:pPr>
      <w:r w:rsidRPr="00ED4D92">
        <w:rPr>
          <w:rFonts w:eastAsia="Times New Roman" w:cs="Times New Roman"/>
          <w:b/>
          <w:sz w:val="22"/>
        </w:rPr>
        <w:t>Q2: Why was there a need for such a change in policy?</w:t>
      </w:r>
    </w:p>
    <w:p w14:paraId="1017B9D7" w14:textId="77777777" w:rsidR="00AC0088" w:rsidRPr="00ED4D92" w:rsidRDefault="00AC0088" w:rsidP="00AC0088">
      <w:pPr>
        <w:spacing w:after="0"/>
        <w:rPr>
          <w:sz w:val="22"/>
        </w:rPr>
      </w:pPr>
      <w:r w:rsidRPr="00ED4D92">
        <w:rPr>
          <w:rFonts w:cs="Times New Roman"/>
          <w:sz w:val="22"/>
        </w:rPr>
        <w:t xml:space="preserve">A2:  Congress enacted the authority to transfer educational benefits to enhance recruitment and retention, and the changes align the benefit to those purposes.  With this action, the department is addressing the intent of Congress, ensuring the benefit remains available for future service members, and clarifies policy for the Uniformed Services. </w:t>
      </w:r>
      <w:r w:rsidRPr="00ED4D92">
        <w:rPr>
          <w:sz w:val="22"/>
        </w:rPr>
        <w:t>All approvals will now be contingent on a service member’s eligibility for four years of additional service from the date of election.</w:t>
      </w:r>
    </w:p>
    <w:p w14:paraId="79412500" w14:textId="77777777" w:rsidR="00AC0088" w:rsidRPr="00ED4D92" w:rsidRDefault="00AC0088" w:rsidP="00AC0088">
      <w:pPr>
        <w:spacing w:after="0"/>
        <w:rPr>
          <w:sz w:val="22"/>
        </w:rPr>
      </w:pPr>
    </w:p>
    <w:p w14:paraId="53355E2B" w14:textId="77777777" w:rsidR="00AC0088" w:rsidRPr="00ED4D92" w:rsidRDefault="00AC0088" w:rsidP="00AC0088">
      <w:pPr>
        <w:spacing w:after="0"/>
        <w:rPr>
          <w:rFonts w:cs="Times New Roman"/>
          <w:b/>
          <w:sz w:val="22"/>
        </w:rPr>
      </w:pPr>
    </w:p>
    <w:p w14:paraId="416A8A7D" w14:textId="77777777" w:rsidR="00AC0088" w:rsidRPr="00ED4D92" w:rsidRDefault="00AC0088" w:rsidP="00AC0088">
      <w:pPr>
        <w:spacing w:after="0"/>
        <w:rPr>
          <w:rFonts w:eastAsia="Times New Roman" w:cs="Times New Roman"/>
          <w:b/>
          <w:sz w:val="22"/>
        </w:rPr>
      </w:pPr>
      <w:r w:rsidRPr="00ED4D92">
        <w:rPr>
          <w:rFonts w:eastAsia="Times New Roman" w:cs="Times New Roman"/>
          <w:b/>
          <w:sz w:val="22"/>
        </w:rPr>
        <w:t xml:space="preserve">Q3:  What does DOD mean by “member must be eligible to be retained for 4 years from the date of election </w:t>
      </w:r>
      <w:r w:rsidRPr="00ED4D92">
        <w:rPr>
          <w:rFonts w:eastAsia="Times New Roman" w:cs="Times New Roman"/>
          <w:b/>
          <w:sz w:val="22"/>
          <w:u w:val="single"/>
        </w:rPr>
        <w:t>and not be precluded, prior to approval,</w:t>
      </w:r>
      <w:r w:rsidRPr="00ED4D92">
        <w:rPr>
          <w:rFonts w:eastAsia="Times New Roman" w:cs="Times New Roman"/>
          <w:b/>
          <w:sz w:val="22"/>
        </w:rPr>
        <w:t xml:space="preserve"> by either standard policy (Service or DOD) or statute”?</w:t>
      </w:r>
    </w:p>
    <w:p w14:paraId="2F4FA258" w14:textId="77777777" w:rsidR="00AC0088" w:rsidRPr="00ED4D92" w:rsidRDefault="00AC0088" w:rsidP="00AC0088">
      <w:pPr>
        <w:tabs>
          <w:tab w:val="num" w:pos="1440"/>
        </w:tabs>
        <w:spacing w:after="0"/>
        <w:rPr>
          <w:rFonts w:eastAsia="Times New Roman" w:cs="Times New Roman"/>
          <w:sz w:val="22"/>
        </w:rPr>
      </w:pPr>
      <w:r w:rsidRPr="00ED4D92">
        <w:rPr>
          <w:rFonts w:eastAsia="Times New Roman" w:cs="Times New Roman"/>
          <w:sz w:val="22"/>
        </w:rPr>
        <w:t xml:space="preserve">A3:  </w:t>
      </w:r>
      <w:r w:rsidRPr="00ED4D92">
        <w:rPr>
          <w:rFonts w:cs="Times New Roman"/>
          <w:sz w:val="22"/>
        </w:rPr>
        <w:t xml:space="preserve">A service member must </w:t>
      </w:r>
      <w:r w:rsidRPr="00ED4D92">
        <w:rPr>
          <w:rFonts w:eastAsia="Times New Roman" w:cs="Times New Roman"/>
          <w:sz w:val="22"/>
        </w:rPr>
        <w:t xml:space="preserve">be eligible to be retained for 4 years from the date of election. Those who cannot commit to four years, (i.e., mandatory retirement date, high-year tenure, retention control point, and those who are not medically qualified), cannot sign up to transfer their benefits. </w:t>
      </w:r>
    </w:p>
    <w:p w14:paraId="1D13E802" w14:textId="77777777" w:rsidR="00AC0088" w:rsidRPr="00ED4D92" w:rsidRDefault="00AC0088" w:rsidP="00AC0088">
      <w:pPr>
        <w:spacing w:after="0"/>
        <w:rPr>
          <w:rFonts w:eastAsia="Times New Roman" w:cs="Times New Roman"/>
          <w:sz w:val="22"/>
        </w:rPr>
      </w:pPr>
      <w:r w:rsidRPr="00ED4D92">
        <w:rPr>
          <w:rFonts w:eastAsia="Times New Roman" w:cs="Times New Roman"/>
          <w:sz w:val="22"/>
        </w:rPr>
        <w:t xml:space="preserve">     </w:t>
      </w:r>
    </w:p>
    <w:p w14:paraId="1FB846A2" w14:textId="77777777" w:rsidR="00D077FD" w:rsidRDefault="00D077FD" w:rsidP="00AC0088">
      <w:pPr>
        <w:spacing w:after="0"/>
        <w:rPr>
          <w:rFonts w:eastAsia="Times New Roman" w:cs="Times New Roman"/>
          <w:b/>
          <w:sz w:val="22"/>
        </w:rPr>
      </w:pPr>
    </w:p>
    <w:p w14:paraId="7B7A6746" w14:textId="77777777" w:rsidR="00D077FD" w:rsidRDefault="00D077FD" w:rsidP="00AC0088">
      <w:pPr>
        <w:spacing w:after="0"/>
        <w:rPr>
          <w:rFonts w:eastAsia="Times New Roman" w:cs="Times New Roman"/>
          <w:b/>
          <w:sz w:val="22"/>
        </w:rPr>
      </w:pPr>
    </w:p>
    <w:p w14:paraId="21D8F200" w14:textId="77777777" w:rsidR="00AC0088" w:rsidRPr="00ED4D92" w:rsidRDefault="00AC0088" w:rsidP="00AC0088">
      <w:pPr>
        <w:spacing w:after="0"/>
        <w:rPr>
          <w:rFonts w:eastAsia="Times New Roman" w:cs="Times New Roman"/>
          <w:b/>
          <w:sz w:val="22"/>
        </w:rPr>
      </w:pPr>
      <w:r w:rsidRPr="00ED4D92">
        <w:rPr>
          <w:rFonts w:eastAsia="Times New Roman" w:cs="Times New Roman"/>
          <w:b/>
          <w:sz w:val="22"/>
        </w:rPr>
        <w:t xml:space="preserve">Q4: What major changes have been made to the DoDI? </w:t>
      </w:r>
    </w:p>
    <w:p w14:paraId="1AC8B05C" w14:textId="77777777" w:rsidR="00AC0088" w:rsidRPr="00ED4D92" w:rsidRDefault="00AC0088" w:rsidP="00AC0088">
      <w:pPr>
        <w:spacing w:after="0"/>
        <w:rPr>
          <w:rFonts w:cs="Times New Roman"/>
          <w:sz w:val="22"/>
        </w:rPr>
      </w:pPr>
      <w:r w:rsidRPr="00ED4D92">
        <w:rPr>
          <w:rFonts w:eastAsia="Times New Roman" w:cs="Times New Roman"/>
          <w:sz w:val="22"/>
        </w:rPr>
        <w:t>A4:  E</w:t>
      </w:r>
      <w:r w:rsidRPr="00ED4D92">
        <w:rPr>
          <w:rFonts w:cs="Times New Roman"/>
          <w:sz w:val="22"/>
        </w:rPr>
        <w:t xml:space="preserve">ligibility to transfer benefits is limited to service members in the Uniformed Services, (includes the USCG), with less than 16 years of total service (active duty service and/or selected reserves as applicable).  Those who cannot commit to four years, such as those with a mandatory retirement date or a high-year tenure or retention control point, are not eligible and cannot be approved to transfer their benefits. </w:t>
      </w:r>
    </w:p>
    <w:p w14:paraId="20228268" w14:textId="77777777" w:rsidR="00AC0088" w:rsidRPr="00ED4D92" w:rsidRDefault="00AC0088" w:rsidP="00AC0088">
      <w:pPr>
        <w:spacing w:after="0"/>
        <w:rPr>
          <w:rFonts w:cs="Times New Roman"/>
          <w:sz w:val="22"/>
        </w:rPr>
      </w:pPr>
    </w:p>
    <w:p w14:paraId="66F1801C" w14:textId="77777777" w:rsidR="00AC0088" w:rsidRPr="00ED4D92" w:rsidRDefault="00AC0088" w:rsidP="00AC0088">
      <w:pPr>
        <w:spacing w:after="0"/>
        <w:rPr>
          <w:rFonts w:eastAsia="Times New Roman" w:cs="Times New Roman"/>
          <w:sz w:val="22"/>
        </w:rPr>
      </w:pPr>
      <w:r w:rsidRPr="00ED4D92">
        <w:rPr>
          <w:rFonts w:eastAsia="Times New Roman" w:cs="Times New Roman"/>
          <w:sz w:val="22"/>
        </w:rPr>
        <w:lastRenderedPageBreak/>
        <w:t xml:space="preserve">The change also provides clarification for service members who are on limited duty or involved in a Medical Evaluation Board (MEB), Physical Evaluation Board (PEB), or Disability Evaluation System process.  Service members must comply with standard procedure (if they have not yet applied for TEB) or must apply once found fit for duty (if they have applied but were denied).  Only members who were previous approved, and then subsequently entered MEB/PEB or Disability Evaluation System process, and found fit, keep their earlier date. Service members subsequently found fit for duty, but only after having accrued more than 16 years of total creditable service, will be allowed to apply to TEB again, provided the member applies to TEB within 90 days of being informed of the fit for duty determination. </w:t>
      </w:r>
    </w:p>
    <w:p w14:paraId="59CC9214" w14:textId="77777777" w:rsidR="00AC0088" w:rsidRPr="00ED4D92" w:rsidRDefault="00AC0088" w:rsidP="00AC0088">
      <w:pPr>
        <w:spacing w:after="0"/>
        <w:ind w:left="720"/>
        <w:contextualSpacing/>
        <w:rPr>
          <w:rFonts w:eastAsia="Times New Roman" w:cs="Times New Roman"/>
          <w:i/>
          <w:sz w:val="22"/>
        </w:rPr>
      </w:pPr>
    </w:p>
    <w:p w14:paraId="180CF64A" w14:textId="77777777" w:rsidR="00AC0088" w:rsidRPr="00ED4D92" w:rsidRDefault="00AC0088" w:rsidP="00AC0088">
      <w:pPr>
        <w:spacing w:after="0"/>
        <w:rPr>
          <w:rFonts w:eastAsia="Times New Roman" w:cs="Times New Roman"/>
          <w:sz w:val="22"/>
        </w:rPr>
      </w:pPr>
      <w:r w:rsidRPr="00ED4D92">
        <w:rPr>
          <w:rFonts w:eastAsia="Times New Roman" w:cs="Times New Roman"/>
          <w:sz w:val="22"/>
        </w:rPr>
        <w:t xml:space="preserve">Service members who have not applied, and subsequently found unfit for duty (with a medical separation/retirement order) - But otherwise eligible to request to transfer their benefit, (have six years), </w:t>
      </w:r>
      <w:r w:rsidRPr="00ED4D92">
        <w:rPr>
          <w:rFonts w:eastAsia="Times New Roman" w:cs="Times New Roman"/>
          <w:b/>
          <w:sz w:val="22"/>
          <w:u w:val="single"/>
        </w:rPr>
        <w:t>may not be approved for transferability with no additional service obligation</w:t>
      </w:r>
      <w:r w:rsidRPr="00ED4D92">
        <w:rPr>
          <w:rFonts w:eastAsia="Times New Roman" w:cs="Times New Roman"/>
          <w:sz w:val="22"/>
        </w:rPr>
        <w:t xml:space="preserve">.  </w:t>
      </w:r>
    </w:p>
    <w:p w14:paraId="44513360" w14:textId="77777777" w:rsidR="00AC0088" w:rsidRPr="00ED4D92" w:rsidRDefault="00AC0088" w:rsidP="00AC0088">
      <w:pPr>
        <w:spacing w:after="0"/>
        <w:ind w:left="720"/>
        <w:contextualSpacing/>
        <w:rPr>
          <w:rFonts w:eastAsia="Times New Roman" w:cs="Times New Roman"/>
          <w:sz w:val="22"/>
        </w:rPr>
      </w:pPr>
    </w:p>
    <w:p w14:paraId="7A2CB014" w14:textId="77777777" w:rsidR="00AC0088" w:rsidRPr="00ED4D92" w:rsidRDefault="00AC0088" w:rsidP="00AC0088">
      <w:pPr>
        <w:spacing w:after="0"/>
        <w:rPr>
          <w:rFonts w:eastAsia="Times New Roman" w:cs="Times New Roman"/>
          <w:b/>
          <w:sz w:val="22"/>
        </w:rPr>
      </w:pPr>
      <w:r w:rsidRPr="00ED4D92">
        <w:rPr>
          <w:rFonts w:eastAsia="Times New Roman" w:cs="Times New Roman"/>
          <w:b/>
          <w:sz w:val="22"/>
        </w:rPr>
        <w:t xml:space="preserve">Q5: How will the changes impact the transferability criteria for a service member who is going through a medical evaluation board process, and is a combat wounded warrior?  If found unfit for duty (with a medical separation/retirement order) but otherwise eligible to request to TEB:  Can they be APPROVED, to transfer the benefits without the 4-year commitment, and with an obligation date equivalent to the medical separation/retirement date? </w:t>
      </w:r>
    </w:p>
    <w:p w14:paraId="1F6BF70A" w14:textId="77777777" w:rsidR="00AC0088" w:rsidRPr="00ED4D92" w:rsidRDefault="00AC0088" w:rsidP="00AC0088">
      <w:pPr>
        <w:spacing w:after="0"/>
        <w:rPr>
          <w:rFonts w:eastAsia="Times New Roman" w:cs="Times New Roman"/>
          <w:sz w:val="22"/>
        </w:rPr>
      </w:pPr>
      <w:r w:rsidRPr="00ED4D92">
        <w:rPr>
          <w:rFonts w:eastAsia="Times New Roman" w:cs="Times New Roman"/>
          <w:sz w:val="22"/>
        </w:rPr>
        <w:t xml:space="preserve">A5: No.  The ability to transfer the Post-9/11 education benefit to family members, as specified in section 3319(a)(2), title 38, U.S. Code, was enacted by Congress to “promote recruitment and retention in the uniformed services”.  Department policy characterizes transferability of educational benefits as a recruiting and retention program, it is neither an entitlement nor a transition or readjustment benefit.  </w:t>
      </w:r>
    </w:p>
    <w:p w14:paraId="0BF0F335" w14:textId="77777777" w:rsidR="00AC0088" w:rsidRPr="00ED4D92" w:rsidRDefault="00AC0088" w:rsidP="00AC0088">
      <w:pPr>
        <w:spacing w:after="0"/>
        <w:rPr>
          <w:rFonts w:eastAsia="Times New Roman" w:cs="Times New Roman"/>
          <w:b/>
          <w:sz w:val="22"/>
        </w:rPr>
      </w:pPr>
    </w:p>
    <w:p w14:paraId="35AEF10D" w14:textId="77777777" w:rsidR="00AC0088" w:rsidRPr="00ED4D92" w:rsidRDefault="00AC0088" w:rsidP="00AC0088">
      <w:pPr>
        <w:spacing w:after="0"/>
        <w:rPr>
          <w:rFonts w:eastAsia="Times New Roman" w:cs="Times New Roman"/>
          <w:b/>
          <w:sz w:val="22"/>
        </w:rPr>
      </w:pPr>
      <w:r w:rsidRPr="00ED4D92">
        <w:rPr>
          <w:rFonts w:eastAsia="Times New Roman" w:cs="Times New Roman"/>
          <w:b/>
          <w:sz w:val="22"/>
        </w:rPr>
        <w:t xml:space="preserve">Q6: What is the ten-years of service </w:t>
      </w:r>
      <w:r w:rsidRPr="00ED4D92">
        <w:rPr>
          <w:rFonts w:eastAsia="Times New Roman" w:cs="Times New Roman"/>
          <w:b/>
          <w:bCs/>
          <w:sz w:val="22"/>
        </w:rPr>
        <w:t>exception?</w:t>
      </w:r>
    </w:p>
    <w:p w14:paraId="13624D6D" w14:textId="77777777" w:rsidR="00AC0088" w:rsidRPr="00ED4D92" w:rsidRDefault="00AC0088" w:rsidP="00AC0088">
      <w:pPr>
        <w:tabs>
          <w:tab w:val="left" w:pos="360"/>
        </w:tabs>
        <w:spacing w:after="0"/>
        <w:rPr>
          <w:rFonts w:eastAsia="Times New Roman" w:cs="Times New Roman"/>
          <w:bCs/>
          <w:sz w:val="22"/>
        </w:rPr>
      </w:pPr>
      <w:r w:rsidRPr="00D077FD">
        <w:rPr>
          <w:rFonts w:eastAsia="Times New Roman" w:cs="Times New Roman"/>
          <w:sz w:val="22"/>
        </w:rPr>
        <w:t>A6</w:t>
      </w:r>
      <w:r w:rsidRPr="00ED4D92">
        <w:rPr>
          <w:rFonts w:eastAsia="Times New Roman" w:cs="Times New Roman"/>
          <w:b/>
          <w:sz w:val="22"/>
        </w:rPr>
        <w:t xml:space="preserve">: </w:t>
      </w:r>
      <w:r w:rsidRPr="00ED4D92">
        <w:rPr>
          <w:rFonts w:eastAsia="Times New Roman" w:cs="Times New Roman"/>
          <w:bCs/>
          <w:sz w:val="22"/>
        </w:rPr>
        <w:t xml:space="preserve">Previously, </w:t>
      </w:r>
      <w:r w:rsidR="00D077FD">
        <w:rPr>
          <w:rFonts w:eastAsia="Times New Roman" w:cs="Times New Roman"/>
          <w:bCs/>
          <w:sz w:val="22"/>
        </w:rPr>
        <w:t>s</w:t>
      </w:r>
      <w:r w:rsidRPr="00ED4D92">
        <w:rPr>
          <w:rFonts w:eastAsia="Times New Roman" w:cs="Times New Roman"/>
          <w:bCs/>
          <w:sz w:val="22"/>
        </w:rPr>
        <w:t xml:space="preserve">ervice members with ten years of service could transfer the benefit without serving the four years, if they were prevented by policy or statue from doing so. </w:t>
      </w:r>
      <w:r w:rsidRPr="00ED4D92">
        <w:rPr>
          <w:rFonts w:ascii="Book Antiqua" w:eastAsia="Times New Roman" w:hAnsi="Book Antiqua" w:cs="Times New Roman"/>
          <w:sz w:val="22"/>
        </w:rPr>
        <w:t xml:space="preserve"> </w:t>
      </w:r>
      <w:r w:rsidRPr="00ED4D92">
        <w:rPr>
          <w:rFonts w:eastAsia="Times New Roman" w:cs="Times New Roman"/>
          <w:sz w:val="22"/>
        </w:rPr>
        <w:t xml:space="preserve">Now such members must be eligible to serve when they elect to transfer educational benefits. </w:t>
      </w:r>
    </w:p>
    <w:p w14:paraId="3D410FF0" w14:textId="77777777" w:rsidR="00A27F25" w:rsidRPr="00ED4D92" w:rsidRDefault="00A27F25" w:rsidP="00A27F25">
      <w:pPr>
        <w:spacing w:after="0"/>
        <w:rPr>
          <w:rFonts w:eastAsia="Calibri" w:cs="Times New Roman"/>
          <w:sz w:val="22"/>
        </w:rPr>
      </w:pPr>
    </w:p>
    <w:sectPr w:rsidR="00A27F25" w:rsidRPr="00ED4D92" w:rsidSect="00A75FE3">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A2AF8" w14:textId="77777777" w:rsidR="003D02DF" w:rsidRDefault="003D02DF" w:rsidP="00780880">
      <w:pPr>
        <w:spacing w:after="0"/>
      </w:pPr>
      <w:r>
        <w:separator/>
      </w:r>
    </w:p>
  </w:endnote>
  <w:endnote w:type="continuationSeparator" w:id="0">
    <w:p w14:paraId="79FF63E7" w14:textId="77777777" w:rsidR="003D02DF" w:rsidRDefault="003D02DF" w:rsidP="007808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036079"/>
      <w:docPartObj>
        <w:docPartGallery w:val="Page Numbers (Bottom of Page)"/>
        <w:docPartUnique/>
      </w:docPartObj>
    </w:sdtPr>
    <w:sdtEndPr>
      <w:rPr>
        <w:noProof/>
      </w:rPr>
    </w:sdtEndPr>
    <w:sdtContent>
      <w:p w14:paraId="2858487A" w14:textId="32D13C73" w:rsidR="00A75FE3" w:rsidRDefault="00A75FE3">
        <w:pPr>
          <w:pStyle w:val="Footer"/>
          <w:jc w:val="center"/>
        </w:pPr>
        <w:r>
          <w:fldChar w:fldCharType="begin"/>
        </w:r>
        <w:r>
          <w:instrText xml:space="preserve"> PAGE   \* MERGEFORMAT </w:instrText>
        </w:r>
        <w:r>
          <w:fldChar w:fldCharType="separate"/>
        </w:r>
        <w:r w:rsidR="00A73C3C">
          <w:rPr>
            <w:noProof/>
          </w:rPr>
          <w:t>1</w:t>
        </w:r>
        <w:r>
          <w:rPr>
            <w:noProof/>
          </w:rPr>
          <w:fldChar w:fldCharType="end"/>
        </w:r>
      </w:p>
    </w:sdtContent>
  </w:sdt>
  <w:p w14:paraId="5DE12E49" w14:textId="77777777" w:rsidR="00780880" w:rsidRDefault="0078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88AD" w14:textId="77777777" w:rsidR="003D02DF" w:rsidRDefault="003D02DF" w:rsidP="00780880">
      <w:pPr>
        <w:spacing w:after="0"/>
      </w:pPr>
      <w:r>
        <w:separator/>
      </w:r>
    </w:p>
  </w:footnote>
  <w:footnote w:type="continuationSeparator" w:id="0">
    <w:p w14:paraId="42BD2CBD" w14:textId="77777777" w:rsidR="003D02DF" w:rsidRDefault="003D02DF" w:rsidP="007808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E73"/>
    <w:multiLevelType w:val="hybridMultilevel"/>
    <w:tmpl w:val="45AE79A6"/>
    <w:lvl w:ilvl="0" w:tplc="4E56B39E">
      <w:start w:val="1"/>
      <w:numFmt w:val="bullet"/>
      <w:lvlText w:val="-"/>
      <w:lvlJc w:val="left"/>
      <w:pPr>
        <w:tabs>
          <w:tab w:val="num" w:pos="720"/>
        </w:tabs>
        <w:ind w:left="720" w:hanging="360"/>
      </w:pPr>
      <w:rPr>
        <w:rFonts w:ascii="Times New Roman" w:hAnsi="Times New Roman" w:hint="default"/>
      </w:rPr>
    </w:lvl>
    <w:lvl w:ilvl="1" w:tplc="2BB87530" w:tentative="1">
      <w:start w:val="1"/>
      <w:numFmt w:val="bullet"/>
      <w:lvlText w:val="-"/>
      <w:lvlJc w:val="left"/>
      <w:pPr>
        <w:tabs>
          <w:tab w:val="num" w:pos="1440"/>
        </w:tabs>
        <w:ind w:left="1440" w:hanging="360"/>
      </w:pPr>
      <w:rPr>
        <w:rFonts w:ascii="Times New Roman" w:hAnsi="Times New Roman" w:hint="default"/>
      </w:rPr>
    </w:lvl>
    <w:lvl w:ilvl="2" w:tplc="284A1778" w:tentative="1">
      <w:start w:val="1"/>
      <w:numFmt w:val="bullet"/>
      <w:lvlText w:val="-"/>
      <w:lvlJc w:val="left"/>
      <w:pPr>
        <w:tabs>
          <w:tab w:val="num" w:pos="2160"/>
        </w:tabs>
        <w:ind w:left="2160" w:hanging="360"/>
      </w:pPr>
      <w:rPr>
        <w:rFonts w:ascii="Times New Roman" w:hAnsi="Times New Roman" w:hint="default"/>
      </w:rPr>
    </w:lvl>
    <w:lvl w:ilvl="3" w:tplc="CF78A902">
      <w:start w:val="1"/>
      <w:numFmt w:val="bullet"/>
      <w:lvlText w:val="-"/>
      <w:lvlJc w:val="left"/>
      <w:pPr>
        <w:tabs>
          <w:tab w:val="num" w:pos="2880"/>
        </w:tabs>
        <w:ind w:left="2880" w:hanging="360"/>
      </w:pPr>
      <w:rPr>
        <w:rFonts w:ascii="Times New Roman" w:hAnsi="Times New Roman" w:hint="default"/>
      </w:rPr>
    </w:lvl>
    <w:lvl w:ilvl="4" w:tplc="640A2D74" w:tentative="1">
      <w:start w:val="1"/>
      <w:numFmt w:val="bullet"/>
      <w:lvlText w:val="-"/>
      <w:lvlJc w:val="left"/>
      <w:pPr>
        <w:tabs>
          <w:tab w:val="num" w:pos="3600"/>
        </w:tabs>
        <w:ind w:left="3600" w:hanging="360"/>
      </w:pPr>
      <w:rPr>
        <w:rFonts w:ascii="Times New Roman" w:hAnsi="Times New Roman" w:hint="default"/>
      </w:rPr>
    </w:lvl>
    <w:lvl w:ilvl="5" w:tplc="1E1A42FE" w:tentative="1">
      <w:start w:val="1"/>
      <w:numFmt w:val="bullet"/>
      <w:lvlText w:val="-"/>
      <w:lvlJc w:val="left"/>
      <w:pPr>
        <w:tabs>
          <w:tab w:val="num" w:pos="4320"/>
        </w:tabs>
        <w:ind w:left="4320" w:hanging="360"/>
      </w:pPr>
      <w:rPr>
        <w:rFonts w:ascii="Times New Roman" w:hAnsi="Times New Roman" w:hint="default"/>
      </w:rPr>
    </w:lvl>
    <w:lvl w:ilvl="6" w:tplc="6E704E12" w:tentative="1">
      <w:start w:val="1"/>
      <w:numFmt w:val="bullet"/>
      <w:lvlText w:val="-"/>
      <w:lvlJc w:val="left"/>
      <w:pPr>
        <w:tabs>
          <w:tab w:val="num" w:pos="5040"/>
        </w:tabs>
        <w:ind w:left="5040" w:hanging="360"/>
      </w:pPr>
      <w:rPr>
        <w:rFonts w:ascii="Times New Roman" w:hAnsi="Times New Roman" w:hint="default"/>
      </w:rPr>
    </w:lvl>
    <w:lvl w:ilvl="7" w:tplc="8C32EBD6" w:tentative="1">
      <w:start w:val="1"/>
      <w:numFmt w:val="bullet"/>
      <w:lvlText w:val="-"/>
      <w:lvlJc w:val="left"/>
      <w:pPr>
        <w:tabs>
          <w:tab w:val="num" w:pos="5760"/>
        </w:tabs>
        <w:ind w:left="5760" w:hanging="360"/>
      </w:pPr>
      <w:rPr>
        <w:rFonts w:ascii="Times New Roman" w:hAnsi="Times New Roman" w:hint="default"/>
      </w:rPr>
    </w:lvl>
    <w:lvl w:ilvl="8" w:tplc="049E99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EA10D7"/>
    <w:multiLevelType w:val="hybridMultilevel"/>
    <w:tmpl w:val="66B0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14477"/>
    <w:multiLevelType w:val="hybridMultilevel"/>
    <w:tmpl w:val="87D2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03687"/>
    <w:multiLevelType w:val="hybridMultilevel"/>
    <w:tmpl w:val="21308A1C"/>
    <w:lvl w:ilvl="0" w:tplc="03E006F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104DD02">
      <w:start w:val="1"/>
      <w:numFmt w:val="bullet"/>
      <w:lvlText w:val=""/>
      <w:lvlJc w:val="left"/>
      <w:pPr>
        <w:tabs>
          <w:tab w:val="num" w:pos="2160"/>
        </w:tabs>
        <w:ind w:left="2160" w:hanging="360"/>
      </w:pPr>
      <w:rPr>
        <w:rFonts w:ascii="Wingdings" w:hAnsi="Wingdings" w:hint="default"/>
      </w:rPr>
    </w:lvl>
    <w:lvl w:ilvl="3" w:tplc="3C9EFB62" w:tentative="1">
      <w:start w:val="1"/>
      <w:numFmt w:val="bullet"/>
      <w:lvlText w:val=""/>
      <w:lvlJc w:val="left"/>
      <w:pPr>
        <w:tabs>
          <w:tab w:val="num" w:pos="2880"/>
        </w:tabs>
        <w:ind w:left="2880" w:hanging="360"/>
      </w:pPr>
      <w:rPr>
        <w:rFonts w:ascii="Wingdings" w:hAnsi="Wingdings" w:hint="default"/>
      </w:rPr>
    </w:lvl>
    <w:lvl w:ilvl="4" w:tplc="71A8B76C" w:tentative="1">
      <w:start w:val="1"/>
      <w:numFmt w:val="bullet"/>
      <w:lvlText w:val=""/>
      <w:lvlJc w:val="left"/>
      <w:pPr>
        <w:tabs>
          <w:tab w:val="num" w:pos="3600"/>
        </w:tabs>
        <w:ind w:left="3600" w:hanging="360"/>
      </w:pPr>
      <w:rPr>
        <w:rFonts w:ascii="Wingdings" w:hAnsi="Wingdings" w:hint="default"/>
      </w:rPr>
    </w:lvl>
    <w:lvl w:ilvl="5" w:tplc="194CB83C" w:tentative="1">
      <w:start w:val="1"/>
      <w:numFmt w:val="bullet"/>
      <w:lvlText w:val=""/>
      <w:lvlJc w:val="left"/>
      <w:pPr>
        <w:tabs>
          <w:tab w:val="num" w:pos="4320"/>
        </w:tabs>
        <w:ind w:left="4320" w:hanging="360"/>
      </w:pPr>
      <w:rPr>
        <w:rFonts w:ascii="Wingdings" w:hAnsi="Wingdings" w:hint="default"/>
      </w:rPr>
    </w:lvl>
    <w:lvl w:ilvl="6" w:tplc="6EFE6DE2" w:tentative="1">
      <w:start w:val="1"/>
      <w:numFmt w:val="bullet"/>
      <w:lvlText w:val=""/>
      <w:lvlJc w:val="left"/>
      <w:pPr>
        <w:tabs>
          <w:tab w:val="num" w:pos="5040"/>
        </w:tabs>
        <w:ind w:left="5040" w:hanging="360"/>
      </w:pPr>
      <w:rPr>
        <w:rFonts w:ascii="Wingdings" w:hAnsi="Wingdings" w:hint="default"/>
      </w:rPr>
    </w:lvl>
    <w:lvl w:ilvl="7" w:tplc="EE5E3670" w:tentative="1">
      <w:start w:val="1"/>
      <w:numFmt w:val="bullet"/>
      <w:lvlText w:val=""/>
      <w:lvlJc w:val="left"/>
      <w:pPr>
        <w:tabs>
          <w:tab w:val="num" w:pos="5760"/>
        </w:tabs>
        <w:ind w:left="5760" w:hanging="360"/>
      </w:pPr>
      <w:rPr>
        <w:rFonts w:ascii="Wingdings" w:hAnsi="Wingdings" w:hint="default"/>
      </w:rPr>
    </w:lvl>
    <w:lvl w:ilvl="8" w:tplc="F0F46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04BDB"/>
    <w:multiLevelType w:val="hybridMultilevel"/>
    <w:tmpl w:val="C4A440C8"/>
    <w:lvl w:ilvl="0" w:tplc="99F030F6">
      <w:start w:val="1"/>
      <w:numFmt w:val="bullet"/>
      <w:lvlText w:val="•"/>
      <w:lvlJc w:val="left"/>
      <w:pPr>
        <w:tabs>
          <w:tab w:val="num" w:pos="720"/>
        </w:tabs>
        <w:ind w:left="720" w:hanging="360"/>
      </w:pPr>
      <w:rPr>
        <w:rFonts w:ascii="Times New Roman" w:hAnsi="Times New Roman" w:hint="default"/>
      </w:rPr>
    </w:lvl>
    <w:lvl w:ilvl="1" w:tplc="D3CA941E">
      <w:start w:val="1"/>
      <w:numFmt w:val="bullet"/>
      <w:lvlText w:val="•"/>
      <w:lvlJc w:val="left"/>
      <w:pPr>
        <w:tabs>
          <w:tab w:val="num" w:pos="1440"/>
        </w:tabs>
        <w:ind w:left="1440" w:hanging="360"/>
      </w:pPr>
      <w:rPr>
        <w:rFonts w:ascii="Times New Roman" w:hAnsi="Times New Roman" w:hint="default"/>
      </w:rPr>
    </w:lvl>
    <w:lvl w:ilvl="2" w:tplc="E076BC86" w:tentative="1">
      <w:start w:val="1"/>
      <w:numFmt w:val="bullet"/>
      <w:lvlText w:val="•"/>
      <w:lvlJc w:val="left"/>
      <w:pPr>
        <w:tabs>
          <w:tab w:val="num" w:pos="2160"/>
        </w:tabs>
        <w:ind w:left="2160" w:hanging="360"/>
      </w:pPr>
      <w:rPr>
        <w:rFonts w:ascii="Times New Roman" w:hAnsi="Times New Roman" w:hint="default"/>
      </w:rPr>
    </w:lvl>
    <w:lvl w:ilvl="3" w:tplc="0F06BF64" w:tentative="1">
      <w:start w:val="1"/>
      <w:numFmt w:val="bullet"/>
      <w:lvlText w:val="•"/>
      <w:lvlJc w:val="left"/>
      <w:pPr>
        <w:tabs>
          <w:tab w:val="num" w:pos="2880"/>
        </w:tabs>
        <w:ind w:left="2880" w:hanging="360"/>
      </w:pPr>
      <w:rPr>
        <w:rFonts w:ascii="Times New Roman" w:hAnsi="Times New Roman" w:hint="default"/>
      </w:rPr>
    </w:lvl>
    <w:lvl w:ilvl="4" w:tplc="F44A84A2" w:tentative="1">
      <w:start w:val="1"/>
      <w:numFmt w:val="bullet"/>
      <w:lvlText w:val="•"/>
      <w:lvlJc w:val="left"/>
      <w:pPr>
        <w:tabs>
          <w:tab w:val="num" w:pos="3600"/>
        </w:tabs>
        <w:ind w:left="3600" w:hanging="360"/>
      </w:pPr>
      <w:rPr>
        <w:rFonts w:ascii="Times New Roman" w:hAnsi="Times New Roman" w:hint="default"/>
      </w:rPr>
    </w:lvl>
    <w:lvl w:ilvl="5" w:tplc="E4809C90" w:tentative="1">
      <w:start w:val="1"/>
      <w:numFmt w:val="bullet"/>
      <w:lvlText w:val="•"/>
      <w:lvlJc w:val="left"/>
      <w:pPr>
        <w:tabs>
          <w:tab w:val="num" w:pos="4320"/>
        </w:tabs>
        <w:ind w:left="4320" w:hanging="360"/>
      </w:pPr>
      <w:rPr>
        <w:rFonts w:ascii="Times New Roman" w:hAnsi="Times New Roman" w:hint="default"/>
      </w:rPr>
    </w:lvl>
    <w:lvl w:ilvl="6" w:tplc="BAF285BC" w:tentative="1">
      <w:start w:val="1"/>
      <w:numFmt w:val="bullet"/>
      <w:lvlText w:val="•"/>
      <w:lvlJc w:val="left"/>
      <w:pPr>
        <w:tabs>
          <w:tab w:val="num" w:pos="5040"/>
        </w:tabs>
        <w:ind w:left="5040" w:hanging="360"/>
      </w:pPr>
      <w:rPr>
        <w:rFonts w:ascii="Times New Roman" w:hAnsi="Times New Roman" w:hint="default"/>
      </w:rPr>
    </w:lvl>
    <w:lvl w:ilvl="7" w:tplc="FBCC4BC2" w:tentative="1">
      <w:start w:val="1"/>
      <w:numFmt w:val="bullet"/>
      <w:lvlText w:val="•"/>
      <w:lvlJc w:val="left"/>
      <w:pPr>
        <w:tabs>
          <w:tab w:val="num" w:pos="5760"/>
        </w:tabs>
        <w:ind w:left="5760" w:hanging="360"/>
      </w:pPr>
      <w:rPr>
        <w:rFonts w:ascii="Times New Roman" w:hAnsi="Times New Roman" w:hint="default"/>
      </w:rPr>
    </w:lvl>
    <w:lvl w:ilvl="8" w:tplc="E0BC49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647071"/>
    <w:multiLevelType w:val="hybridMultilevel"/>
    <w:tmpl w:val="19984A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E9160D"/>
    <w:multiLevelType w:val="hybridMultilevel"/>
    <w:tmpl w:val="3AB6AD1A"/>
    <w:lvl w:ilvl="0" w:tplc="34D8C9A6">
      <w:start w:val="1"/>
      <w:numFmt w:val="bullet"/>
      <w:lvlText w:val=""/>
      <w:lvlJc w:val="left"/>
      <w:pPr>
        <w:tabs>
          <w:tab w:val="num" w:pos="720"/>
        </w:tabs>
        <w:ind w:left="720" w:hanging="360"/>
      </w:pPr>
      <w:rPr>
        <w:rFonts w:ascii="Wingdings" w:hAnsi="Wingdings" w:hint="default"/>
      </w:rPr>
    </w:lvl>
    <w:lvl w:ilvl="1" w:tplc="79308C64">
      <w:start w:val="2556"/>
      <w:numFmt w:val="bullet"/>
      <w:lvlText w:val="•"/>
      <w:lvlJc w:val="left"/>
      <w:pPr>
        <w:tabs>
          <w:tab w:val="num" w:pos="1440"/>
        </w:tabs>
        <w:ind w:left="1440" w:hanging="360"/>
      </w:pPr>
      <w:rPr>
        <w:rFonts w:ascii="Arial" w:hAnsi="Arial" w:hint="default"/>
      </w:rPr>
    </w:lvl>
    <w:lvl w:ilvl="2" w:tplc="4CD86924" w:tentative="1">
      <w:start w:val="1"/>
      <w:numFmt w:val="bullet"/>
      <w:lvlText w:val=""/>
      <w:lvlJc w:val="left"/>
      <w:pPr>
        <w:tabs>
          <w:tab w:val="num" w:pos="2160"/>
        </w:tabs>
        <w:ind w:left="2160" w:hanging="360"/>
      </w:pPr>
      <w:rPr>
        <w:rFonts w:ascii="Wingdings" w:hAnsi="Wingdings" w:hint="default"/>
      </w:rPr>
    </w:lvl>
    <w:lvl w:ilvl="3" w:tplc="1F346DA8" w:tentative="1">
      <w:start w:val="1"/>
      <w:numFmt w:val="bullet"/>
      <w:lvlText w:val=""/>
      <w:lvlJc w:val="left"/>
      <w:pPr>
        <w:tabs>
          <w:tab w:val="num" w:pos="2880"/>
        </w:tabs>
        <w:ind w:left="2880" w:hanging="360"/>
      </w:pPr>
      <w:rPr>
        <w:rFonts w:ascii="Wingdings" w:hAnsi="Wingdings" w:hint="default"/>
      </w:rPr>
    </w:lvl>
    <w:lvl w:ilvl="4" w:tplc="4A588AD8" w:tentative="1">
      <w:start w:val="1"/>
      <w:numFmt w:val="bullet"/>
      <w:lvlText w:val=""/>
      <w:lvlJc w:val="left"/>
      <w:pPr>
        <w:tabs>
          <w:tab w:val="num" w:pos="3600"/>
        </w:tabs>
        <w:ind w:left="3600" w:hanging="360"/>
      </w:pPr>
      <w:rPr>
        <w:rFonts w:ascii="Wingdings" w:hAnsi="Wingdings" w:hint="default"/>
      </w:rPr>
    </w:lvl>
    <w:lvl w:ilvl="5" w:tplc="E080180A" w:tentative="1">
      <w:start w:val="1"/>
      <w:numFmt w:val="bullet"/>
      <w:lvlText w:val=""/>
      <w:lvlJc w:val="left"/>
      <w:pPr>
        <w:tabs>
          <w:tab w:val="num" w:pos="4320"/>
        </w:tabs>
        <w:ind w:left="4320" w:hanging="360"/>
      </w:pPr>
      <w:rPr>
        <w:rFonts w:ascii="Wingdings" w:hAnsi="Wingdings" w:hint="default"/>
      </w:rPr>
    </w:lvl>
    <w:lvl w:ilvl="6" w:tplc="8FCADF06" w:tentative="1">
      <w:start w:val="1"/>
      <w:numFmt w:val="bullet"/>
      <w:lvlText w:val=""/>
      <w:lvlJc w:val="left"/>
      <w:pPr>
        <w:tabs>
          <w:tab w:val="num" w:pos="5040"/>
        </w:tabs>
        <w:ind w:left="5040" w:hanging="360"/>
      </w:pPr>
      <w:rPr>
        <w:rFonts w:ascii="Wingdings" w:hAnsi="Wingdings" w:hint="default"/>
      </w:rPr>
    </w:lvl>
    <w:lvl w:ilvl="7" w:tplc="7CB0E8EC" w:tentative="1">
      <w:start w:val="1"/>
      <w:numFmt w:val="bullet"/>
      <w:lvlText w:val=""/>
      <w:lvlJc w:val="left"/>
      <w:pPr>
        <w:tabs>
          <w:tab w:val="num" w:pos="5760"/>
        </w:tabs>
        <w:ind w:left="5760" w:hanging="360"/>
      </w:pPr>
      <w:rPr>
        <w:rFonts w:ascii="Wingdings" w:hAnsi="Wingdings" w:hint="default"/>
      </w:rPr>
    </w:lvl>
    <w:lvl w:ilvl="8" w:tplc="50542C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23DA6"/>
    <w:multiLevelType w:val="hybridMultilevel"/>
    <w:tmpl w:val="D9D8C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D1F18"/>
    <w:multiLevelType w:val="hybridMultilevel"/>
    <w:tmpl w:val="07244F46"/>
    <w:lvl w:ilvl="0" w:tplc="C4A224D6">
      <w:start w:val="1"/>
      <w:numFmt w:val="bullet"/>
      <w:lvlText w:val="•"/>
      <w:lvlJc w:val="left"/>
      <w:pPr>
        <w:tabs>
          <w:tab w:val="num" w:pos="720"/>
        </w:tabs>
        <w:ind w:left="720" w:hanging="360"/>
      </w:pPr>
      <w:rPr>
        <w:rFonts w:ascii="Times New Roman" w:hAnsi="Times New Roman" w:hint="default"/>
      </w:rPr>
    </w:lvl>
    <w:lvl w:ilvl="1" w:tplc="96B64E9C">
      <w:start w:val="1"/>
      <w:numFmt w:val="bullet"/>
      <w:lvlText w:val="•"/>
      <w:lvlJc w:val="left"/>
      <w:pPr>
        <w:tabs>
          <w:tab w:val="num" w:pos="1440"/>
        </w:tabs>
        <w:ind w:left="1440" w:hanging="360"/>
      </w:pPr>
      <w:rPr>
        <w:rFonts w:ascii="Times New Roman" w:hAnsi="Times New Roman" w:hint="default"/>
      </w:rPr>
    </w:lvl>
    <w:lvl w:ilvl="2" w:tplc="106C7744" w:tentative="1">
      <w:start w:val="1"/>
      <w:numFmt w:val="bullet"/>
      <w:lvlText w:val="•"/>
      <w:lvlJc w:val="left"/>
      <w:pPr>
        <w:tabs>
          <w:tab w:val="num" w:pos="2160"/>
        </w:tabs>
        <w:ind w:left="2160" w:hanging="360"/>
      </w:pPr>
      <w:rPr>
        <w:rFonts w:ascii="Times New Roman" w:hAnsi="Times New Roman" w:hint="default"/>
      </w:rPr>
    </w:lvl>
    <w:lvl w:ilvl="3" w:tplc="049E8E64" w:tentative="1">
      <w:start w:val="1"/>
      <w:numFmt w:val="bullet"/>
      <w:lvlText w:val="•"/>
      <w:lvlJc w:val="left"/>
      <w:pPr>
        <w:tabs>
          <w:tab w:val="num" w:pos="2880"/>
        </w:tabs>
        <w:ind w:left="2880" w:hanging="360"/>
      </w:pPr>
      <w:rPr>
        <w:rFonts w:ascii="Times New Roman" w:hAnsi="Times New Roman" w:hint="default"/>
      </w:rPr>
    </w:lvl>
    <w:lvl w:ilvl="4" w:tplc="F78C5BF2" w:tentative="1">
      <w:start w:val="1"/>
      <w:numFmt w:val="bullet"/>
      <w:lvlText w:val="•"/>
      <w:lvlJc w:val="left"/>
      <w:pPr>
        <w:tabs>
          <w:tab w:val="num" w:pos="3600"/>
        </w:tabs>
        <w:ind w:left="3600" w:hanging="360"/>
      </w:pPr>
      <w:rPr>
        <w:rFonts w:ascii="Times New Roman" w:hAnsi="Times New Roman" w:hint="default"/>
      </w:rPr>
    </w:lvl>
    <w:lvl w:ilvl="5" w:tplc="DBEC9286" w:tentative="1">
      <w:start w:val="1"/>
      <w:numFmt w:val="bullet"/>
      <w:lvlText w:val="•"/>
      <w:lvlJc w:val="left"/>
      <w:pPr>
        <w:tabs>
          <w:tab w:val="num" w:pos="4320"/>
        </w:tabs>
        <w:ind w:left="4320" w:hanging="360"/>
      </w:pPr>
      <w:rPr>
        <w:rFonts w:ascii="Times New Roman" w:hAnsi="Times New Roman" w:hint="default"/>
      </w:rPr>
    </w:lvl>
    <w:lvl w:ilvl="6" w:tplc="A8401146" w:tentative="1">
      <w:start w:val="1"/>
      <w:numFmt w:val="bullet"/>
      <w:lvlText w:val="•"/>
      <w:lvlJc w:val="left"/>
      <w:pPr>
        <w:tabs>
          <w:tab w:val="num" w:pos="5040"/>
        </w:tabs>
        <w:ind w:left="5040" w:hanging="360"/>
      </w:pPr>
      <w:rPr>
        <w:rFonts w:ascii="Times New Roman" w:hAnsi="Times New Roman" w:hint="default"/>
      </w:rPr>
    </w:lvl>
    <w:lvl w:ilvl="7" w:tplc="189A2F7E" w:tentative="1">
      <w:start w:val="1"/>
      <w:numFmt w:val="bullet"/>
      <w:lvlText w:val="•"/>
      <w:lvlJc w:val="left"/>
      <w:pPr>
        <w:tabs>
          <w:tab w:val="num" w:pos="5760"/>
        </w:tabs>
        <w:ind w:left="5760" w:hanging="360"/>
      </w:pPr>
      <w:rPr>
        <w:rFonts w:ascii="Times New Roman" w:hAnsi="Times New Roman" w:hint="default"/>
      </w:rPr>
    </w:lvl>
    <w:lvl w:ilvl="8" w:tplc="6DC6E3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1F43471"/>
    <w:multiLevelType w:val="hybridMultilevel"/>
    <w:tmpl w:val="1F9C09C8"/>
    <w:lvl w:ilvl="0" w:tplc="887EB222">
      <w:start w:val="1"/>
      <w:numFmt w:val="bullet"/>
      <w:lvlText w:val=""/>
      <w:lvlJc w:val="left"/>
      <w:pPr>
        <w:tabs>
          <w:tab w:val="num" w:pos="720"/>
        </w:tabs>
        <w:ind w:left="720" w:hanging="360"/>
      </w:pPr>
      <w:rPr>
        <w:rFonts w:ascii="Wingdings" w:hAnsi="Wingdings" w:hint="default"/>
      </w:rPr>
    </w:lvl>
    <w:lvl w:ilvl="1" w:tplc="4A342B90">
      <w:start w:val="1"/>
      <w:numFmt w:val="bullet"/>
      <w:lvlText w:val=""/>
      <w:lvlJc w:val="left"/>
      <w:pPr>
        <w:tabs>
          <w:tab w:val="num" w:pos="1440"/>
        </w:tabs>
        <w:ind w:left="1440" w:hanging="360"/>
      </w:pPr>
      <w:rPr>
        <w:rFonts w:ascii="Wingdings" w:hAnsi="Wingdings" w:hint="default"/>
      </w:rPr>
    </w:lvl>
    <w:lvl w:ilvl="2" w:tplc="7FB0E664" w:tentative="1">
      <w:start w:val="1"/>
      <w:numFmt w:val="bullet"/>
      <w:lvlText w:val=""/>
      <w:lvlJc w:val="left"/>
      <w:pPr>
        <w:tabs>
          <w:tab w:val="num" w:pos="2160"/>
        </w:tabs>
        <w:ind w:left="2160" w:hanging="360"/>
      </w:pPr>
      <w:rPr>
        <w:rFonts w:ascii="Wingdings" w:hAnsi="Wingdings" w:hint="default"/>
      </w:rPr>
    </w:lvl>
    <w:lvl w:ilvl="3" w:tplc="3F643096" w:tentative="1">
      <w:start w:val="1"/>
      <w:numFmt w:val="bullet"/>
      <w:lvlText w:val=""/>
      <w:lvlJc w:val="left"/>
      <w:pPr>
        <w:tabs>
          <w:tab w:val="num" w:pos="2880"/>
        </w:tabs>
        <w:ind w:left="2880" w:hanging="360"/>
      </w:pPr>
      <w:rPr>
        <w:rFonts w:ascii="Wingdings" w:hAnsi="Wingdings" w:hint="default"/>
      </w:rPr>
    </w:lvl>
    <w:lvl w:ilvl="4" w:tplc="4530C3B4" w:tentative="1">
      <w:start w:val="1"/>
      <w:numFmt w:val="bullet"/>
      <w:lvlText w:val=""/>
      <w:lvlJc w:val="left"/>
      <w:pPr>
        <w:tabs>
          <w:tab w:val="num" w:pos="3600"/>
        </w:tabs>
        <w:ind w:left="3600" w:hanging="360"/>
      </w:pPr>
      <w:rPr>
        <w:rFonts w:ascii="Wingdings" w:hAnsi="Wingdings" w:hint="default"/>
      </w:rPr>
    </w:lvl>
    <w:lvl w:ilvl="5" w:tplc="8B9447FA" w:tentative="1">
      <w:start w:val="1"/>
      <w:numFmt w:val="bullet"/>
      <w:lvlText w:val=""/>
      <w:lvlJc w:val="left"/>
      <w:pPr>
        <w:tabs>
          <w:tab w:val="num" w:pos="4320"/>
        </w:tabs>
        <w:ind w:left="4320" w:hanging="360"/>
      </w:pPr>
      <w:rPr>
        <w:rFonts w:ascii="Wingdings" w:hAnsi="Wingdings" w:hint="default"/>
      </w:rPr>
    </w:lvl>
    <w:lvl w:ilvl="6" w:tplc="CED8BD1E" w:tentative="1">
      <w:start w:val="1"/>
      <w:numFmt w:val="bullet"/>
      <w:lvlText w:val=""/>
      <w:lvlJc w:val="left"/>
      <w:pPr>
        <w:tabs>
          <w:tab w:val="num" w:pos="5040"/>
        </w:tabs>
        <w:ind w:left="5040" w:hanging="360"/>
      </w:pPr>
      <w:rPr>
        <w:rFonts w:ascii="Wingdings" w:hAnsi="Wingdings" w:hint="default"/>
      </w:rPr>
    </w:lvl>
    <w:lvl w:ilvl="7" w:tplc="BA96C234" w:tentative="1">
      <w:start w:val="1"/>
      <w:numFmt w:val="bullet"/>
      <w:lvlText w:val=""/>
      <w:lvlJc w:val="left"/>
      <w:pPr>
        <w:tabs>
          <w:tab w:val="num" w:pos="5760"/>
        </w:tabs>
        <w:ind w:left="5760" w:hanging="360"/>
      </w:pPr>
      <w:rPr>
        <w:rFonts w:ascii="Wingdings" w:hAnsi="Wingdings" w:hint="default"/>
      </w:rPr>
    </w:lvl>
    <w:lvl w:ilvl="8" w:tplc="F57ADB7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E354CC"/>
    <w:multiLevelType w:val="hybridMultilevel"/>
    <w:tmpl w:val="DA348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224B3"/>
    <w:multiLevelType w:val="hybridMultilevel"/>
    <w:tmpl w:val="CA7C9DDA"/>
    <w:lvl w:ilvl="0" w:tplc="692C5ACC">
      <w:start w:val="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E26CA"/>
    <w:multiLevelType w:val="hybridMultilevel"/>
    <w:tmpl w:val="B8FE8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C50A1"/>
    <w:multiLevelType w:val="hybridMultilevel"/>
    <w:tmpl w:val="9940A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446CC2"/>
    <w:multiLevelType w:val="hybridMultilevel"/>
    <w:tmpl w:val="68888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93FF3"/>
    <w:multiLevelType w:val="hybridMultilevel"/>
    <w:tmpl w:val="41BA0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A7FD0"/>
    <w:multiLevelType w:val="hybridMultilevel"/>
    <w:tmpl w:val="3A4E4670"/>
    <w:lvl w:ilvl="0" w:tplc="BF5A5C3E">
      <w:start w:val="1"/>
      <w:numFmt w:val="bullet"/>
      <w:lvlText w:val=""/>
      <w:lvlJc w:val="left"/>
      <w:pPr>
        <w:tabs>
          <w:tab w:val="num" w:pos="720"/>
        </w:tabs>
        <w:ind w:left="720" w:hanging="360"/>
      </w:pPr>
      <w:rPr>
        <w:rFonts w:ascii="Wingdings" w:hAnsi="Wingdings" w:hint="default"/>
      </w:rPr>
    </w:lvl>
    <w:lvl w:ilvl="1" w:tplc="2CA6688A" w:tentative="1">
      <w:start w:val="1"/>
      <w:numFmt w:val="bullet"/>
      <w:lvlText w:val=""/>
      <w:lvlJc w:val="left"/>
      <w:pPr>
        <w:tabs>
          <w:tab w:val="num" w:pos="1440"/>
        </w:tabs>
        <w:ind w:left="1440" w:hanging="360"/>
      </w:pPr>
      <w:rPr>
        <w:rFonts w:ascii="Wingdings" w:hAnsi="Wingdings" w:hint="default"/>
      </w:rPr>
    </w:lvl>
    <w:lvl w:ilvl="2" w:tplc="FA5EA504">
      <w:start w:val="1"/>
      <w:numFmt w:val="bullet"/>
      <w:lvlText w:val=""/>
      <w:lvlJc w:val="left"/>
      <w:pPr>
        <w:tabs>
          <w:tab w:val="num" w:pos="2160"/>
        </w:tabs>
        <w:ind w:left="2160" w:hanging="360"/>
      </w:pPr>
      <w:rPr>
        <w:rFonts w:ascii="Wingdings" w:hAnsi="Wingdings" w:hint="default"/>
      </w:rPr>
    </w:lvl>
    <w:lvl w:ilvl="3" w:tplc="35B4882A" w:tentative="1">
      <w:start w:val="1"/>
      <w:numFmt w:val="bullet"/>
      <w:lvlText w:val=""/>
      <w:lvlJc w:val="left"/>
      <w:pPr>
        <w:tabs>
          <w:tab w:val="num" w:pos="2880"/>
        </w:tabs>
        <w:ind w:left="2880" w:hanging="360"/>
      </w:pPr>
      <w:rPr>
        <w:rFonts w:ascii="Wingdings" w:hAnsi="Wingdings" w:hint="default"/>
      </w:rPr>
    </w:lvl>
    <w:lvl w:ilvl="4" w:tplc="386AB8FE" w:tentative="1">
      <w:start w:val="1"/>
      <w:numFmt w:val="bullet"/>
      <w:lvlText w:val=""/>
      <w:lvlJc w:val="left"/>
      <w:pPr>
        <w:tabs>
          <w:tab w:val="num" w:pos="3600"/>
        </w:tabs>
        <w:ind w:left="3600" w:hanging="360"/>
      </w:pPr>
      <w:rPr>
        <w:rFonts w:ascii="Wingdings" w:hAnsi="Wingdings" w:hint="default"/>
      </w:rPr>
    </w:lvl>
    <w:lvl w:ilvl="5" w:tplc="9C0619F6" w:tentative="1">
      <w:start w:val="1"/>
      <w:numFmt w:val="bullet"/>
      <w:lvlText w:val=""/>
      <w:lvlJc w:val="left"/>
      <w:pPr>
        <w:tabs>
          <w:tab w:val="num" w:pos="4320"/>
        </w:tabs>
        <w:ind w:left="4320" w:hanging="360"/>
      </w:pPr>
      <w:rPr>
        <w:rFonts w:ascii="Wingdings" w:hAnsi="Wingdings" w:hint="default"/>
      </w:rPr>
    </w:lvl>
    <w:lvl w:ilvl="6" w:tplc="42C29824" w:tentative="1">
      <w:start w:val="1"/>
      <w:numFmt w:val="bullet"/>
      <w:lvlText w:val=""/>
      <w:lvlJc w:val="left"/>
      <w:pPr>
        <w:tabs>
          <w:tab w:val="num" w:pos="5040"/>
        </w:tabs>
        <w:ind w:left="5040" w:hanging="360"/>
      </w:pPr>
      <w:rPr>
        <w:rFonts w:ascii="Wingdings" w:hAnsi="Wingdings" w:hint="default"/>
      </w:rPr>
    </w:lvl>
    <w:lvl w:ilvl="7" w:tplc="304C3352" w:tentative="1">
      <w:start w:val="1"/>
      <w:numFmt w:val="bullet"/>
      <w:lvlText w:val=""/>
      <w:lvlJc w:val="left"/>
      <w:pPr>
        <w:tabs>
          <w:tab w:val="num" w:pos="5760"/>
        </w:tabs>
        <w:ind w:left="5760" w:hanging="360"/>
      </w:pPr>
      <w:rPr>
        <w:rFonts w:ascii="Wingdings" w:hAnsi="Wingdings" w:hint="default"/>
      </w:rPr>
    </w:lvl>
    <w:lvl w:ilvl="8" w:tplc="4364ADE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50605"/>
    <w:multiLevelType w:val="hybridMultilevel"/>
    <w:tmpl w:val="F6D03C6A"/>
    <w:lvl w:ilvl="0" w:tplc="53AAFC2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0"/>
  </w:num>
  <w:num w:numId="5">
    <w:abstractNumId w:val="16"/>
  </w:num>
  <w:num w:numId="6">
    <w:abstractNumId w:val="5"/>
  </w:num>
  <w:num w:numId="7">
    <w:abstractNumId w:val="8"/>
  </w:num>
  <w:num w:numId="8">
    <w:abstractNumId w:val="6"/>
  </w:num>
  <w:num w:numId="9">
    <w:abstractNumId w:val="9"/>
  </w:num>
  <w:num w:numId="10">
    <w:abstractNumId w:val="3"/>
  </w:num>
  <w:num w:numId="11">
    <w:abstractNumId w:val="1"/>
  </w:num>
  <w:num w:numId="12">
    <w:abstractNumId w:val="10"/>
  </w:num>
  <w:num w:numId="13">
    <w:abstractNumId w:val="14"/>
  </w:num>
  <w:num w:numId="14">
    <w:abstractNumId w:val="2"/>
  </w:num>
  <w:num w:numId="15">
    <w:abstractNumId w:val="12"/>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04"/>
    <w:rsid w:val="00002F0E"/>
    <w:rsid w:val="00023724"/>
    <w:rsid w:val="00032910"/>
    <w:rsid w:val="000343EA"/>
    <w:rsid w:val="00036FE9"/>
    <w:rsid w:val="00043DDD"/>
    <w:rsid w:val="00044F50"/>
    <w:rsid w:val="00044FE8"/>
    <w:rsid w:val="00047D2C"/>
    <w:rsid w:val="00060986"/>
    <w:rsid w:val="0006669C"/>
    <w:rsid w:val="00066EE1"/>
    <w:rsid w:val="00067CA2"/>
    <w:rsid w:val="00076E3D"/>
    <w:rsid w:val="00087376"/>
    <w:rsid w:val="00095D9E"/>
    <w:rsid w:val="000A126D"/>
    <w:rsid w:val="000A17F8"/>
    <w:rsid w:val="000A6147"/>
    <w:rsid w:val="000B5EA8"/>
    <w:rsid w:val="000C008D"/>
    <w:rsid w:val="000C36ED"/>
    <w:rsid w:val="000C580A"/>
    <w:rsid w:val="000D6A67"/>
    <w:rsid w:val="000E0FDD"/>
    <w:rsid w:val="000E154F"/>
    <w:rsid w:val="000F0368"/>
    <w:rsid w:val="000F199D"/>
    <w:rsid w:val="000F5C82"/>
    <w:rsid w:val="000F6E67"/>
    <w:rsid w:val="001046A4"/>
    <w:rsid w:val="001111EB"/>
    <w:rsid w:val="0015186C"/>
    <w:rsid w:val="00157DCA"/>
    <w:rsid w:val="0017023E"/>
    <w:rsid w:val="00181D74"/>
    <w:rsid w:val="001921EE"/>
    <w:rsid w:val="00196DAB"/>
    <w:rsid w:val="001A13E1"/>
    <w:rsid w:val="001C07B8"/>
    <w:rsid w:val="001D5598"/>
    <w:rsid w:val="001D693E"/>
    <w:rsid w:val="001D6965"/>
    <w:rsid w:val="001E7460"/>
    <w:rsid w:val="001F1B4C"/>
    <w:rsid w:val="001F1BAA"/>
    <w:rsid w:val="00212B17"/>
    <w:rsid w:val="00213B41"/>
    <w:rsid w:val="00236E10"/>
    <w:rsid w:val="00240560"/>
    <w:rsid w:val="00251E67"/>
    <w:rsid w:val="00276E72"/>
    <w:rsid w:val="00281396"/>
    <w:rsid w:val="00282A65"/>
    <w:rsid w:val="0028429F"/>
    <w:rsid w:val="00293C6A"/>
    <w:rsid w:val="0029429F"/>
    <w:rsid w:val="0029638D"/>
    <w:rsid w:val="002A0864"/>
    <w:rsid w:val="002A5EF4"/>
    <w:rsid w:val="002B4533"/>
    <w:rsid w:val="002C0150"/>
    <w:rsid w:val="002C02F3"/>
    <w:rsid w:val="002C3AF4"/>
    <w:rsid w:val="002D3D76"/>
    <w:rsid w:val="002D4EA4"/>
    <w:rsid w:val="002E1E9A"/>
    <w:rsid w:val="002E2438"/>
    <w:rsid w:val="002E38F8"/>
    <w:rsid w:val="002E3ECB"/>
    <w:rsid w:val="002E50CF"/>
    <w:rsid w:val="002E5E03"/>
    <w:rsid w:val="002F3764"/>
    <w:rsid w:val="00300279"/>
    <w:rsid w:val="0030039C"/>
    <w:rsid w:val="003303CD"/>
    <w:rsid w:val="00332888"/>
    <w:rsid w:val="00333A45"/>
    <w:rsid w:val="003362EA"/>
    <w:rsid w:val="003602A2"/>
    <w:rsid w:val="003742BC"/>
    <w:rsid w:val="00375B64"/>
    <w:rsid w:val="00383E74"/>
    <w:rsid w:val="00392780"/>
    <w:rsid w:val="00392BCD"/>
    <w:rsid w:val="003939EB"/>
    <w:rsid w:val="00397E08"/>
    <w:rsid w:val="003A1CDB"/>
    <w:rsid w:val="003A217D"/>
    <w:rsid w:val="003A6B93"/>
    <w:rsid w:val="003B1C94"/>
    <w:rsid w:val="003B7F55"/>
    <w:rsid w:val="003C21CC"/>
    <w:rsid w:val="003D02DF"/>
    <w:rsid w:val="003D66BD"/>
    <w:rsid w:val="003E55F4"/>
    <w:rsid w:val="003E68DD"/>
    <w:rsid w:val="003E78D8"/>
    <w:rsid w:val="003F4979"/>
    <w:rsid w:val="004026EB"/>
    <w:rsid w:val="004056C4"/>
    <w:rsid w:val="004079E6"/>
    <w:rsid w:val="00413124"/>
    <w:rsid w:val="0041348D"/>
    <w:rsid w:val="00416701"/>
    <w:rsid w:val="00417DFF"/>
    <w:rsid w:val="00421D7C"/>
    <w:rsid w:val="00424966"/>
    <w:rsid w:val="004249DB"/>
    <w:rsid w:val="00430CEA"/>
    <w:rsid w:val="00435B71"/>
    <w:rsid w:val="00447BCD"/>
    <w:rsid w:val="00450F2D"/>
    <w:rsid w:val="00457433"/>
    <w:rsid w:val="0046716B"/>
    <w:rsid w:val="00470B8D"/>
    <w:rsid w:val="00475264"/>
    <w:rsid w:val="0047559C"/>
    <w:rsid w:val="00477196"/>
    <w:rsid w:val="00481813"/>
    <w:rsid w:val="0048778E"/>
    <w:rsid w:val="004A00A6"/>
    <w:rsid w:val="004A3BE8"/>
    <w:rsid w:val="004B4B04"/>
    <w:rsid w:val="004B7425"/>
    <w:rsid w:val="004C4C23"/>
    <w:rsid w:val="004D18D1"/>
    <w:rsid w:val="004D2C27"/>
    <w:rsid w:val="004D7B23"/>
    <w:rsid w:val="004F2A36"/>
    <w:rsid w:val="004F6C68"/>
    <w:rsid w:val="0050156E"/>
    <w:rsid w:val="00514315"/>
    <w:rsid w:val="005158C2"/>
    <w:rsid w:val="005172CC"/>
    <w:rsid w:val="00522084"/>
    <w:rsid w:val="00524D7B"/>
    <w:rsid w:val="005256C8"/>
    <w:rsid w:val="00525753"/>
    <w:rsid w:val="00526D8B"/>
    <w:rsid w:val="00530D2B"/>
    <w:rsid w:val="00532859"/>
    <w:rsid w:val="005356AB"/>
    <w:rsid w:val="00541FF9"/>
    <w:rsid w:val="005438EA"/>
    <w:rsid w:val="00552EE0"/>
    <w:rsid w:val="00553E82"/>
    <w:rsid w:val="005544B3"/>
    <w:rsid w:val="005713E0"/>
    <w:rsid w:val="0057229F"/>
    <w:rsid w:val="0058056D"/>
    <w:rsid w:val="0058180D"/>
    <w:rsid w:val="005A1628"/>
    <w:rsid w:val="005A27F4"/>
    <w:rsid w:val="005A37C7"/>
    <w:rsid w:val="005A5D45"/>
    <w:rsid w:val="005A62E7"/>
    <w:rsid w:val="005B71F9"/>
    <w:rsid w:val="005D2814"/>
    <w:rsid w:val="005D3184"/>
    <w:rsid w:val="005D5598"/>
    <w:rsid w:val="005D5A6E"/>
    <w:rsid w:val="005E3EBF"/>
    <w:rsid w:val="005F6333"/>
    <w:rsid w:val="00607632"/>
    <w:rsid w:val="006126AB"/>
    <w:rsid w:val="00622368"/>
    <w:rsid w:val="006223A6"/>
    <w:rsid w:val="00623150"/>
    <w:rsid w:val="006350F1"/>
    <w:rsid w:val="00636397"/>
    <w:rsid w:val="006439D7"/>
    <w:rsid w:val="006522FB"/>
    <w:rsid w:val="0065493B"/>
    <w:rsid w:val="00666553"/>
    <w:rsid w:val="00672676"/>
    <w:rsid w:val="006773F5"/>
    <w:rsid w:val="006828B4"/>
    <w:rsid w:val="00692B5C"/>
    <w:rsid w:val="00697669"/>
    <w:rsid w:val="00697C97"/>
    <w:rsid w:val="006B0AB0"/>
    <w:rsid w:val="006D6451"/>
    <w:rsid w:val="006E2168"/>
    <w:rsid w:val="006E3C0C"/>
    <w:rsid w:val="006E594E"/>
    <w:rsid w:val="006F1952"/>
    <w:rsid w:val="007244DF"/>
    <w:rsid w:val="00726E60"/>
    <w:rsid w:val="00736362"/>
    <w:rsid w:val="0073668C"/>
    <w:rsid w:val="00746756"/>
    <w:rsid w:val="00757F1E"/>
    <w:rsid w:val="007602B6"/>
    <w:rsid w:val="00767DA3"/>
    <w:rsid w:val="00780880"/>
    <w:rsid w:val="00785798"/>
    <w:rsid w:val="007A0DC7"/>
    <w:rsid w:val="007A1F2D"/>
    <w:rsid w:val="007A48DE"/>
    <w:rsid w:val="007B48DD"/>
    <w:rsid w:val="007C089C"/>
    <w:rsid w:val="007C5B89"/>
    <w:rsid w:val="007E0346"/>
    <w:rsid w:val="007F5842"/>
    <w:rsid w:val="007F79FE"/>
    <w:rsid w:val="00800870"/>
    <w:rsid w:val="00800A5A"/>
    <w:rsid w:val="00803963"/>
    <w:rsid w:val="008203B8"/>
    <w:rsid w:val="00830DDF"/>
    <w:rsid w:val="008377B5"/>
    <w:rsid w:val="00841D0E"/>
    <w:rsid w:val="008443C6"/>
    <w:rsid w:val="0084682F"/>
    <w:rsid w:val="00847550"/>
    <w:rsid w:val="00854A3F"/>
    <w:rsid w:val="00866E3F"/>
    <w:rsid w:val="00877467"/>
    <w:rsid w:val="0088181A"/>
    <w:rsid w:val="00887B12"/>
    <w:rsid w:val="00890BF4"/>
    <w:rsid w:val="008970F9"/>
    <w:rsid w:val="008A2723"/>
    <w:rsid w:val="008A5E71"/>
    <w:rsid w:val="008D171C"/>
    <w:rsid w:val="008E2300"/>
    <w:rsid w:val="008F0BAD"/>
    <w:rsid w:val="0091049F"/>
    <w:rsid w:val="00914ACF"/>
    <w:rsid w:val="00921DB4"/>
    <w:rsid w:val="0092329A"/>
    <w:rsid w:val="00932425"/>
    <w:rsid w:val="009327CE"/>
    <w:rsid w:val="00933B57"/>
    <w:rsid w:val="00935E09"/>
    <w:rsid w:val="00941B9E"/>
    <w:rsid w:val="009424DD"/>
    <w:rsid w:val="00945B2E"/>
    <w:rsid w:val="00947911"/>
    <w:rsid w:val="009627CC"/>
    <w:rsid w:val="00964C84"/>
    <w:rsid w:val="00972AEA"/>
    <w:rsid w:val="00991FFD"/>
    <w:rsid w:val="00994B3A"/>
    <w:rsid w:val="009952C7"/>
    <w:rsid w:val="00997DE3"/>
    <w:rsid w:val="009A6774"/>
    <w:rsid w:val="009C2682"/>
    <w:rsid w:val="009C334A"/>
    <w:rsid w:val="009D2153"/>
    <w:rsid w:val="009E3691"/>
    <w:rsid w:val="009E420F"/>
    <w:rsid w:val="009E4A3E"/>
    <w:rsid w:val="009E4FB6"/>
    <w:rsid w:val="009E735B"/>
    <w:rsid w:val="009F5A24"/>
    <w:rsid w:val="009F7E51"/>
    <w:rsid w:val="00A131C6"/>
    <w:rsid w:val="00A15D73"/>
    <w:rsid w:val="00A16E48"/>
    <w:rsid w:val="00A27B97"/>
    <w:rsid w:val="00A27F25"/>
    <w:rsid w:val="00A318A9"/>
    <w:rsid w:val="00A35CCD"/>
    <w:rsid w:val="00A37A0B"/>
    <w:rsid w:val="00A44766"/>
    <w:rsid w:val="00A50660"/>
    <w:rsid w:val="00A52591"/>
    <w:rsid w:val="00A65B46"/>
    <w:rsid w:val="00A73C3C"/>
    <w:rsid w:val="00A7400A"/>
    <w:rsid w:val="00A75FE3"/>
    <w:rsid w:val="00A776AA"/>
    <w:rsid w:val="00A77C95"/>
    <w:rsid w:val="00A9628F"/>
    <w:rsid w:val="00AA3B25"/>
    <w:rsid w:val="00AA4A1D"/>
    <w:rsid w:val="00AB0C82"/>
    <w:rsid w:val="00AB18BB"/>
    <w:rsid w:val="00AB2C9B"/>
    <w:rsid w:val="00AC0088"/>
    <w:rsid w:val="00AD1AF4"/>
    <w:rsid w:val="00AE7332"/>
    <w:rsid w:val="00AF07C3"/>
    <w:rsid w:val="00AF131E"/>
    <w:rsid w:val="00AF3486"/>
    <w:rsid w:val="00AF5AC0"/>
    <w:rsid w:val="00AF774B"/>
    <w:rsid w:val="00AF7A3D"/>
    <w:rsid w:val="00B10DAC"/>
    <w:rsid w:val="00B11F8F"/>
    <w:rsid w:val="00B23F80"/>
    <w:rsid w:val="00B2757B"/>
    <w:rsid w:val="00B37848"/>
    <w:rsid w:val="00B5361C"/>
    <w:rsid w:val="00B56CB6"/>
    <w:rsid w:val="00B6014E"/>
    <w:rsid w:val="00B6021E"/>
    <w:rsid w:val="00B62297"/>
    <w:rsid w:val="00B6499B"/>
    <w:rsid w:val="00B65698"/>
    <w:rsid w:val="00B72DB5"/>
    <w:rsid w:val="00B75255"/>
    <w:rsid w:val="00B9783F"/>
    <w:rsid w:val="00BB0B4E"/>
    <w:rsid w:val="00BB1784"/>
    <w:rsid w:val="00BC40C6"/>
    <w:rsid w:val="00BC7B44"/>
    <w:rsid w:val="00BD0103"/>
    <w:rsid w:val="00BD115A"/>
    <w:rsid w:val="00BD5763"/>
    <w:rsid w:val="00BD6B2C"/>
    <w:rsid w:val="00BF0008"/>
    <w:rsid w:val="00BF0737"/>
    <w:rsid w:val="00BF281B"/>
    <w:rsid w:val="00BF4EE1"/>
    <w:rsid w:val="00BF7461"/>
    <w:rsid w:val="00C20F64"/>
    <w:rsid w:val="00C22212"/>
    <w:rsid w:val="00C34B31"/>
    <w:rsid w:val="00C34DD5"/>
    <w:rsid w:val="00C44D80"/>
    <w:rsid w:val="00C54692"/>
    <w:rsid w:val="00C561B6"/>
    <w:rsid w:val="00C8214A"/>
    <w:rsid w:val="00C8440C"/>
    <w:rsid w:val="00C858DA"/>
    <w:rsid w:val="00CC57A1"/>
    <w:rsid w:val="00CD7DD3"/>
    <w:rsid w:val="00CE347C"/>
    <w:rsid w:val="00CE5203"/>
    <w:rsid w:val="00CF26EA"/>
    <w:rsid w:val="00D0005F"/>
    <w:rsid w:val="00D01330"/>
    <w:rsid w:val="00D0375C"/>
    <w:rsid w:val="00D077FD"/>
    <w:rsid w:val="00D116AE"/>
    <w:rsid w:val="00D2598E"/>
    <w:rsid w:val="00D33002"/>
    <w:rsid w:val="00D373DF"/>
    <w:rsid w:val="00D37A17"/>
    <w:rsid w:val="00D45076"/>
    <w:rsid w:val="00D45783"/>
    <w:rsid w:val="00D46495"/>
    <w:rsid w:val="00D50049"/>
    <w:rsid w:val="00D55CD7"/>
    <w:rsid w:val="00D61D95"/>
    <w:rsid w:val="00D7411A"/>
    <w:rsid w:val="00D77229"/>
    <w:rsid w:val="00D832E4"/>
    <w:rsid w:val="00D9075D"/>
    <w:rsid w:val="00DB0759"/>
    <w:rsid w:val="00DB3F61"/>
    <w:rsid w:val="00DB4231"/>
    <w:rsid w:val="00DB4CF4"/>
    <w:rsid w:val="00DC0A2C"/>
    <w:rsid w:val="00DC492B"/>
    <w:rsid w:val="00DD0D89"/>
    <w:rsid w:val="00DD16FE"/>
    <w:rsid w:val="00DE28B4"/>
    <w:rsid w:val="00DE7C5C"/>
    <w:rsid w:val="00DF2E12"/>
    <w:rsid w:val="00DF4BA6"/>
    <w:rsid w:val="00DF771D"/>
    <w:rsid w:val="00DF7841"/>
    <w:rsid w:val="00E03005"/>
    <w:rsid w:val="00E20A01"/>
    <w:rsid w:val="00E25AE0"/>
    <w:rsid w:val="00E353F7"/>
    <w:rsid w:val="00E4360B"/>
    <w:rsid w:val="00E51B0D"/>
    <w:rsid w:val="00E51FB3"/>
    <w:rsid w:val="00E70158"/>
    <w:rsid w:val="00E94E62"/>
    <w:rsid w:val="00EA03AE"/>
    <w:rsid w:val="00EB4BA9"/>
    <w:rsid w:val="00EB6AB2"/>
    <w:rsid w:val="00EC4B01"/>
    <w:rsid w:val="00EC6A88"/>
    <w:rsid w:val="00EC6D6F"/>
    <w:rsid w:val="00EC7A41"/>
    <w:rsid w:val="00EC7C02"/>
    <w:rsid w:val="00ED4D92"/>
    <w:rsid w:val="00EE2B6C"/>
    <w:rsid w:val="00EE4FDD"/>
    <w:rsid w:val="00EE5083"/>
    <w:rsid w:val="00EF306A"/>
    <w:rsid w:val="00EF7874"/>
    <w:rsid w:val="00EF7A57"/>
    <w:rsid w:val="00F017F9"/>
    <w:rsid w:val="00F069F1"/>
    <w:rsid w:val="00F17B0E"/>
    <w:rsid w:val="00F3359B"/>
    <w:rsid w:val="00F37439"/>
    <w:rsid w:val="00F53B3E"/>
    <w:rsid w:val="00F56538"/>
    <w:rsid w:val="00F71ED7"/>
    <w:rsid w:val="00F721B2"/>
    <w:rsid w:val="00F76DD5"/>
    <w:rsid w:val="00F77E0A"/>
    <w:rsid w:val="00F87D0D"/>
    <w:rsid w:val="00F90975"/>
    <w:rsid w:val="00F90FA7"/>
    <w:rsid w:val="00F93528"/>
    <w:rsid w:val="00F9538F"/>
    <w:rsid w:val="00FA21A6"/>
    <w:rsid w:val="00FB0332"/>
    <w:rsid w:val="00FD1AD4"/>
    <w:rsid w:val="00FD1B0B"/>
    <w:rsid w:val="00FD7D48"/>
    <w:rsid w:val="00FF2AEE"/>
    <w:rsid w:val="00FF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1358E"/>
  <w15:docId w15:val="{7C629245-ACB1-49F0-8BDA-B8ADAA46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B3"/>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B04"/>
    <w:pPr>
      <w:ind w:left="720"/>
      <w:contextualSpacing/>
    </w:pPr>
  </w:style>
  <w:style w:type="paragraph" w:styleId="Header">
    <w:name w:val="header"/>
    <w:basedOn w:val="Normal"/>
    <w:link w:val="HeaderChar"/>
    <w:uiPriority w:val="99"/>
    <w:unhideWhenUsed/>
    <w:rsid w:val="00780880"/>
    <w:pPr>
      <w:tabs>
        <w:tab w:val="center" w:pos="4680"/>
        <w:tab w:val="right" w:pos="9360"/>
      </w:tabs>
      <w:spacing w:after="0"/>
    </w:pPr>
  </w:style>
  <w:style w:type="character" w:customStyle="1" w:styleId="HeaderChar">
    <w:name w:val="Header Char"/>
    <w:basedOn w:val="DefaultParagraphFont"/>
    <w:link w:val="Header"/>
    <w:uiPriority w:val="99"/>
    <w:rsid w:val="00780880"/>
    <w:rPr>
      <w:rFonts w:ascii="Times New Roman" w:hAnsi="Times New Roman"/>
      <w:sz w:val="24"/>
    </w:rPr>
  </w:style>
  <w:style w:type="paragraph" w:styleId="Footer">
    <w:name w:val="footer"/>
    <w:basedOn w:val="Normal"/>
    <w:link w:val="FooterChar"/>
    <w:uiPriority w:val="99"/>
    <w:unhideWhenUsed/>
    <w:rsid w:val="00780880"/>
    <w:pPr>
      <w:tabs>
        <w:tab w:val="center" w:pos="4680"/>
        <w:tab w:val="right" w:pos="9360"/>
      </w:tabs>
      <w:spacing w:after="0"/>
    </w:pPr>
  </w:style>
  <w:style w:type="character" w:customStyle="1" w:styleId="FooterChar">
    <w:name w:val="Footer Char"/>
    <w:basedOn w:val="DefaultParagraphFont"/>
    <w:link w:val="Footer"/>
    <w:uiPriority w:val="99"/>
    <w:rsid w:val="00780880"/>
    <w:rPr>
      <w:rFonts w:ascii="Times New Roman" w:hAnsi="Times New Roman"/>
      <w:sz w:val="24"/>
    </w:rPr>
  </w:style>
  <w:style w:type="character" w:styleId="CommentReference">
    <w:name w:val="annotation reference"/>
    <w:basedOn w:val="DefaultParagraphFont"/>
    <w:uiPriority w:val="99"/>
    <w:semiHidden/>
    <w:unhideWhenUsed/>
    <w:rsid w:val="0046716B"/>
    <w:rPr>
      <w:sz w:val="16"/>
      <w:szCs w:val="16"/>
    </w:rPr>
  </w:style>
  <w:style w:type="paragraph" w:styleId="CommentText">
    <w:name w:val="annotation text"/>
    <w:basedOn w:val="Normal"/>
    <w:link w:val="CommentTextChar"/>
    <w:uiPriority w:val="99"/>
    <w:semiHidden/>
    <w:unhideWhenUsed/>
    <w:rsid w:val="0046716B"/>
    <w:rPr>
      <w:sz w:val="20"/>
      <w:szCs w:val="20"/>
    </w:rPr>
  </w:style>
  <w:style w:type="character" w:customStyle="1" w:styleId="CommentTextChar">
    <w:name w:val="Comment Text Char"/>
    <w:basedOn w:val="DefaultParagraphFont"/>
    <w:link w:val="CommentText"/>
    <w:uiPriority w:val="99"/>
    <w:semiHidden/>
    <w:rsid w:val="004671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716B"/>
    <w:rPr>
      <w:b/>
      <w:bCs/>
    </w:rPr>
  </w:style>
  <w:style w:type="character" w:customStyle="1" w:styleId="CommentSubjectChar">
    <w:name w:val="Comment Subject Char"/>
    <w:basedOn w:val="CommentTextChar"/>
    <w:link w:val="CommentSubject"/>
    <w:uiPriority w:val="99"/>
    <w:semiHidden/>
    <w:rsid w:val="0046716B"/>
    <w:rPr>
      <w:rFonts w:ascii="Times New Roman" w:hAnsi="Times New Roman"/>
      <w:b/>
      <w:bCs/>
      <w:sz w:val="20"/>
      <w:szCs w:val="20"/>
    </w:rPr>
  </w:style>
  <w:style w:type="paragraph" w:styleId="BalloonText">
    <w:name w:val="Balloon Text"/>
    <w:basedOn w:val="Normal"/>
    <w:link w:val="BalloonTextChar"/>
    <w:uiPriority w:val="99"/>
    <w:semiHidden/>
    <w:unhideWhenUsed/>
    <w:rsid w:val="004671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6B"/>
    <w:rPr>
      <w:rFonts w:ascii="Tahoma" w:hAnsi="Tahoma" w:cs="Tahoma"/>
      <w:sz w:val="16"/>
      <w:szCs w:val="16"/>
    </w:rPr>
  </w:style>
  <w:style w:type="character" w:customStyle="1" w:styleId="ListParagraphChar">
    <w:name w:val="List Paragraph Char"/>
    <w:link w:val="ListParagraph"/>
    <w:uiPriority w:val="34"/>
    <w:rsid w:val="000F6E67"/>
    <w:rPr>
      <w:rFonts w:ascii="Times New Roman" w:hAnsi="Times New Roman"/>
      <w:sz w:val="24"/>
    </w:rPr>
  </w:style>
  <w:style w:type="character" w:styleId="Hyperlink">
    <w:name w:val="Hyperlink"/>
    <w:basedOn w:val="DefaultParagraphFont"/>
    <w:uiPriority w:val="99"/>
    <w:unhideWhenUsed/>
    <w:rsid w:val="000E0FDD"/>
    <w:rPr>
      <w:color w:val="0000FF" w:themeColor="hyperlink"/>
      <w:u w:val="single"/>
    </w:rPr>
  </w:style>
  <w:style w:type="character" w:styleId="FollowedHyperlink">
    <w:name w:val="FollowedHyperlink"/>
    <w:basedOn w:val="DefaultParagraphFont"/>
    <w:uiPriority w:val="99"/>
    <w:semiHidden/>
    <w:unhideWhenUsed/>
    <w:rsid w:val="00023724"/>
    <w:rPr>
      <w:color w:val="800080" w:themeColor="followedHyperlink"/>
      <w:u w:val="single"/>
    </w:rPr>
  </w:style>
  <w:style w:type="paragraph" w:styleId="Caption">
    <w:name w:val="caption"/>
    <w:basedOn w:val="Normal"/>
    <w:next w:val="Normal"/>
    <w:uiPriority w:val="35"/>
    <w:unhideWhenUsed/>
    <w:qFormat/>
    <w:rsid w:val="00457433"/>
    <w:rPr>
      <w:b/>
      <w:bCs/>
      <w:color w:val="4F81BD" w:themeColor="accent1"/>
      <w:sz w:val="18"/>
      <w:szCs w:val="18"/>
    </w:rPr>
  </w:style>
  <w:style w:type="paragraph" w:styleId="PlainText">
    <w:name w:val="Plain Text"/>
    <w:basedOn w:val="Normal"/>
    <w:link w:val="PlainTextChar"/>
    <w:uiPriority w:val="99"/>
    <w:unhideWhenUsed/>
    <w:rsid w:val="0029638D"/>
    <w:pPr>
      <w:spacing w:after="0"/>
    </w:pPr>
    <w:rPr>
      <w:rFonts w:ascii="Calibri" w:hAnsi="Calibri"/>
      <w:sz w:val="22"/>
      <w:szCs w:val="21"/>
    </w:rPr>
  </w:style>
  <w:style w:type="character" w:customStyle="1" w:styleId="PlainTextChar">
    <w:name w:val="Plain Text Char"/>
    <w:basedOn w:val="DefaultParagraphFont"/>
    <w:link w:val="PlainText"/>
    <w:uiPriority w:val="99"/>
    <w:rsid w:val="0029638D"/>
    <w:rPr>
      <w:rFonts w:ascii="Calibri" w:hAnsi="Calibri"/>
      <w:szCs w:val="21"/>
    </w:rPr>
  </w:style>
  <w:style w:type="paragraph" w:customStyle="1" w:styleId="Default">
    <w:name w:val="Default"/>
    <w:rsid w:val="00A27F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4760">
      <w:bodyDiv w:val="1"/>
      <w:marLeft w:val="0"/>
      <w:marRight w:val="0"/>
      <w:marTop w:val="0"/>
      <w:marBottom w:val="0"/>
      <w:divBdr>
        <w:top w:val="none" w:sz="0" w:space="0" w:color="auto"/>
        <w:left w:val="none" w:sz="0" w:space="0" w:color="auto"/>
        <w:bottom w:val="none" w:sz="0" w:space="0" w:color="auto"/>
        <w:right w:val="none" w:sz="0" w:space="0" w:color="auto"/>
      </w:divBdr>
    </w:div>
    <w:div w:id="196701501">
      <w:bodyDiv w:val="1"/>
      <w:marLeft w:val="0"/>
      <w:marRight w:val="0"/>
      <w:marTop w:val="0"/>
      <w:marBottom w:val="0"/>
      <w:divBdr>
        <w:top w:val="none" w:sz="0" w:space="0" w:color="auto"/>
        <w:left w:val="none" w:sz="0" w:space="0" w:color="auto"/>
        <w:bottom w:val="none" w:sz="0" w:space="0" w:color="auto"/>
        <w:right w:val="none" w:sz="0" w:space="0" w:color="auto"/>
      </w:divBdr>
    </w:div>
    <w:div w:id="242833925">
      <w:bodyDiv w:val="1"/>
      <w:marLeft w:val="0"/>
      <w:marRight w:val="0"/>
      <w:marTop w:val="0"/>
      <w:marBottom w:val="0"/>
      <w:divBdr>
        <w:top w:val="none" w:sz="0" w:space="0" w:color="auto"/>
        <w:left w:val="none" w:sz="0" w:space="0" w:color="auto"/>
        <w:bottom w:val="none" w:sz="0" w:space="0" w:color="auto"/>
        <w:right w:val="none" w:sz="0" w:space="0" w:color="auto"/>
      </w:divBdr>
      <w:divsChild>
        <w:div w:id="102117540">
          <w:marLeft w:val="461"/>
          <w:marRight w:val="0"/>
          <w:marTop w:val="86"/>
          <w:marBottom w:val="120"/>
          <w:divBdr>
            <w:top w:val="none" w:sz="0" w:space="0" w:color="auto"/>
            <w:left w:val="none" w:sz="0" w:space="0" w:color="auto"/>
            <w:bottom w:val="none" w:sz="0" w:space="0" w:color="auto"/>
            <w:right w:val="none" w:sz="0" w:space="0" w:color="auto"/>
          </w:divBdr>
        </w:div>
      </w:divsChild>
    </w:div>
    <w:div w:id="545917060">
      <w:bodyDiv w:val="1"/>
      <w:marLeft w:val="0"/>
      <w:marRight w:val="0"/>
      <w:marTop w:val="0"/>
      <w:marBottom w:val="0"/>
      <w:divBdr>
        <w:top w:val="none" w:sz="0" w:space="0" w:color="auto"/>
        <w:left w:val="none" w:sz="0" w:space="0" w:color="auto"/>
        <w:bottom w:val="none" w:sz="0" w:space="0" w:color="auto"/>
        <w:right w:val="none" w:sz="0" w:space="0" w:color="auto"/>
      </w:divBdr>
      <w:divsChild>
        <w:div w:id="158932064">
          <w:marLeft w:val="1800"/>
          <w:marRight w:val="0"/>
          <w:marTop w:val="77"/>
          <w:marBottom w:val="0"/>
          <w:divBdr>
            <w:top w:val="none" w:sz="0" w:space="0" w:color="auto"/>
            <w:left w:val="none" w:sz="0" w:space="0" w:color="auto"/>
            <w:bottom w:val="none" w:sz="0" w:space="0" w:color="auto"/>
            <w:right w:val="none" w:sz="0" w:space="0" w:color="auto"/>
          </w:divBdr>
        </w:div>
      </w:divsChild>
    </w:div>
    <w:div w:id="672606194">
      <w:bodyDiv w:val="1"/>
      <w:marLeft w:val="0"/>
      <w:marRight w:val="0"/>
      <w:marTop w:val="0"/>
      <w:marBottom w:val="0"/>
      <w:divBdr>
        <w:top w:val="none" w:sz="0" w:space="0" w:color="auto"/>
        <w:left w:val="none" w:sz="0" w:space="0" w:color="auto"/>
        <w:bottom w:val="none" w:sz="0" w:space="0" w:color="auto"/>
        <w:right w:val="none" w:sz="0" w:space="0" w:color="auto"/>
      </w:divBdr>
      <w:divsChild>
        <w:div w:id="1165627780">
          <w:marLeft w:val="1080"/>
          <w:marRight w:val="0"/>
          <w:marTop w:val="86"/>
          <w:marBottom w:val="0"/>
          <w:divBdr>
            <w:top w:val="none" w:sz="0" w:space="0" w:color="auto"/>
            <w:left w:val="none" w:sz="0" w:space="0" w:color="auto"/>
            <w:bottom w:val="none" w:sz="0" w:space="0" w:color="auto"/>
            <w:right w:val="none" w:sz="0" w:space="0" w:color="auto"/>
          </w:divBdr>
        </w:div>
        <w:div w:id="401415374">
          <w:marLeft w:val="1886"/>
          <w:marRight w:val="0"/>
          <w:marTop w:val="77"/>
          <w:marBottom w:val="0"/>
          <w:divBdr>
            <w:top w:val="none" w:sz="0" w:space="0" w:color="auto"/>
            <w:left w:val="none" w:sz="0" w:space="0" w:color="auto"/>
            <w:bottom w:val="none" w:sz="0" w:space="0" w:color="auto"/>
            <w:right w:val="none" w:sz="0" w:space="0" w:color="auto"/>
          </w:divBdr>
        </w:div>
      </w:divsChild>
    </w:div>
    <w:div w:id="821653766">
      <w:bodyDiv w:val="1"/>
      <w:marLeft w:val="0"/>
      <w:marRight w:val="0"/>
      <w:marTop w:val="0"/>
      <w:marBottom w:val="0"/>
      <w:divBdr>
        <w:top w:val="none" w:sz="0" w:space="0" w:color="auto"/>
        <w:left w:val="none" w:sz="0" w:space="0" w:color="auto"/>
        <w:bottom w:val="none" w:sz="0" w:space="0" w:color="auto"/>
        <w:right w:val="none" w:sz="0" w:space="0" w:color="auto"/>
      </w:divBdr>
    </w:div>
    <w:div w:id="1006591400">
      <w:bodyDiv w:val="1"/>
      <w:marLeft w:val="0"/>
      <w:marRight w:val="0"/>
      <w:marTop w:val="0"/>
      <w:marBottom w:val="0"/>
      <w:divBdr>
        <w:top w:val="none" w:sz="0" w:space="0" w:color="auto"/>
        <w:left w:val="none" w:sz="0" w:space="0" w:color="auto"/>
        <w:bottom w:val="none" w:sz="0" w:space="0" w:color="auto"/>
        <w:right w:val="none" w:sz="0" w:space="0" w:color="auto"/>
      </w:divBdr>
    </w:div>
    <w:div w:id="1051342007">
      <w:bodyDiv w:val="1"/>
      <w:marLeft w:val="0"/>
      <w:marRight w:val="0"/>
      <w:marTop w:val="0"/>
      <w:marBottom w:val="0"/>
      <w:divBdr>
        <w:top w:val="none" w:sz="0" w:space="0" w:color="auto"/>
        <w:left w:val="none" w:sz="0" w:space="0" w:color="auto"/>
        <w:bottom w:val="none" w:sz="0" w:space="0" w:color="auto"/>
        <w:right w:val="none" w:sz="0" w:space="0" w:color="auto"/>
      </w:divBdr>
      <w:divsChild>
        <w:div w:id="809901393">
          <w:marLeft w:val="0"/>
          <w:marRight w:val="0"/>
          <w:marTop w:val="0"/>
          <w:marBottom w:val="0"/>
          <w:divBdr>
            <w:top w:val="none" w:sz="0" w:space="0" w:color="auto"/>
            <w:left w:val="single" w:sz="6" w:space="0" w:color="999999"/>
            <w:bottom w:val="none" w:sz="0" w:space="0" w:color="auto"/>
            <w:right w:val="single" w:sz="6" w:space="0" w:color="999999"/>
          </w:divBdr>
          <w:divsChild>
            <w:div w:id="1906184388">
              <w:marLeft w:val="0"/>
              <w:marRight w:val="0"/>
              <w:marTop w:val="0"/>
              <w:marBottom w:val="0"/>
              <w:divBdr>
                <w:top w:val="none" w:sz="0" w:space="0" w:color="auto"/>
                <w:left w:val="none" w:sz="0" w:space="0" w:color="auto"/>
                <w:bottom w:val="none" w:sz="0" w:space="0" w:color="auto"/>
                <w:right w:val="none" w:sz="0" w:space="0" w:color="auto"/>
              </w:divBdr>
              <w:divsChild>
                <w:div w:id="1913813946">
                  <w:marLeft w:val="225"/>
                  <w:marRight w:val="0"/>
                  <w:marTop w:val="225"/>
                  <w:marBottom w:val="0"/>
                  <w:divBdr>
                    <w:top w:val="none" w:sz="0" w:space="0" w:color="auto"/>
                    <w:left w:val="none" w:sz="0" w:space="0" w:color="auto"/>
                    <w:bottom w:val="none" w:sz="0" w:space="0" w:color="auto"/>
                    <w:right w:val="none" w:sz="0" w:space="0" w:color="auto"/>
                  </w:divBdr>
                </w:div>
                <w:div w:id="1013410036">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29855216">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sChild>
        <w:div w:id="927545385">
          <w:marLeft w:val="1166"/>
          <w:marRight w:val="0"/>
          <w:marTop w:val="0"/>
          <w:marBottom w:val="0"/>
          <w:divBdr>
            <w:top w:val="none" w:sz="0" w:space="0" w:color="auto"/>
            <w:left w:val="none" w:sz="0" w:space="0" w:color="auto"/>
            <w:bottom w:val="none" w:sz="0" w:space="0" w:color="auto"/>
            <w:right w:val="none" w:sz="0" w:space="0" w:color="auto"/>
          </w:divBdr>
        </w:div>
        <w:div w:id="1570848093">
          <w:marLeft w:val="1166"/>
          <w:marRight w:val="0"/>
          <w:marTop w:val="0"/>
          <w:marBottom w:val="0"/>
          <w:divBdr>
            <w:top w:val="none" w:sz="0" w:space="0" w:color="auto"/>
            <w:left w:val="none" w:sz="0" w:space="0" w:color="auto"/>
            <w:bottom w:val="none" w:sz="0" w:space="0" w:color="auto"/>
            <w:right w:val="none" w:sz="0" w:space="0" w:color="auto"/>
          </w:divBdr>
        </w:div>
        <w:div w:id="332537793">
          <w:marLeft w:val="1166"/>
          <w:marRight w:val="0"/>
          <w:marTop w:val="0"/>
          <w:marBottom w:val="0"/>
          <w:divBdr>
            <w:top w:val="none" w:sz="0" w:space="0" w:color="auto"/>
            <w:left w:val="none" w:sz="0" w:space="0" w:color="auto"/>
            <w:bottom w:val="none" w:sz="0" w:space="0" w:color="auto"/>
            <w:right w:val="none" w:sz="0" w:space="0" w:color="auto"/>
          </w:divBdr>
        </w:div>
      </w:divsChild>
    </w:div>
    <w:div w:id="1259486052">
      <w:bodyDiv w:val="1"/>
      <w:marLeft w:val="0"/>
      <w:marRight w:val="0"/>
      <w:marTop w:val="0"/>
      <w:marBottom w:val="0"/>
      <w:divBdr>
        <w:top w:val="none" w:sz="0" w:space="0" w:color="auto"/>
        <w:left w:val="none" w:sz="0" w:space="0" w:color="auto"/>
        <w:bottom w:val="none" w:sz="0" w:space="0" w:color="auto"/>
        <w:right w:val="none" w:sz="0" w:space="0" w:color="auto"/>
      </w:divBdr>
      <w:divsChild>
        <w:div w:id="1094281152">
          <w:marLeft w:val="2520"/>
          <w:marRight w:val="0"/>
          <w:marTop w:val="77"/>
          <w:marBottom w:val="0"/>
          <w:divBdr>
            <w:top w:val="none" w:sz="0" w:space="0" w:color="auto"/>
            <w:left w:val="none" w:sz="0" w:space="0" w:color="auto"/>
            <w:bottom w:val="none" w:sz="0" w:space="0" w:color="auto"/>
            <w:right w:val="none" w:sz="0" w:space="0" w:color="auto"/>
          </w:divBdr>
        </w:div>
      </w:divsChild>
    </w:div>
    <w:div w:id="1392463447">
      <w:bodyDiv w:val="1"/>
      <w:marLeft w:val="0"/>
      <w:marRight w:val="0"/>
      <w:marTop w:val="0"/>
      <w:marBottom w:val="0"/>
      <w:divBdr>
        <w:top w:val="none" w:sz="0" w:space="0" w:color="auto"/>
        <w:left w:val="none" w:sz="0" w:space="0" w:color="auto"/>
        <w:bottom w:val="none" w:sz="0" w:space="0" w:color="auto"/>
        <w:right w:val="none" w:sz="0" w:space="0" w:color="auto"/>
      </w:divBdr>
      <w:divsChild>
        <w:div w:id="2079013949">
          <w:marLeft w:val="994"/>
          <w:marRight w:val="0"/>
          <w:marTop w:val="77"/>
          <w:marBottom w:val="120"/>
          <w:divBdr>
            <w:top w:val="none" w:sz="0" w:space="0" w:color="auto"/>
            <w:left w:val="none" w:sz="0" w:space="0" w:color="auto"/>
            <w:bottom w:val="none" w:sz="0" w:space="0" w:color="auto"/>
            <w:right w:val="none" w:sz="0" w:space="0" w:color="auto"/>
          </w:divBdr>
        </w:div>
        <w:div w:id="2059893186">
          <w:marLeft w:val="994"/>
          <w:marRight w:val="0"/>
          <w:marTop w:val="77"/>
          <w:marBottom w:val="120"/>
          <w:divBdr>
            <w:top w:val="none" w:sz="0" w:space="0" w:color="auto"/>
            <w:left w:val="none" w:sz="0" w:space="0" w:color="auto"/>
            <w:bottom w:val="none" w:sz="0" w:space="0" w:color="auto"/>
            <w:right w:val="none" w:sz="0" w:space="0" w:color="auto"/>
          </w:divBdr>
        </w:div>
        <w:div w:id="1419670947">
          <w:marLeft w:val="994"/>
          <w:marRight w:val="0"/>
          <w:marTop w:val="77"/>
          <w:marBottom w:val="120"/>
          <w:divBdr>
            <w:top w:val="none" w:sz="0" w:space="0" w:color="auto"/>
            <w:left w:val="none" w:sz="0" w:space="0" w:color="auto"/>
            <w:bottom w:val="none" w:sz="0" w:space="0" w:color="auto"/>
            <w:right w:val="none" w:sz="0" w:space="0" w:color="auto"/>
          </w:divBdr>
        </w:div>
        <w:div w:id="1477458240">
          <w:marLeft w:val="994"/>
          <w:marRight w:val="0"/>
          <w:marTop w:val="77"/>
          <w:marBottom w:val="240"/>
          <w:divBdr>
            <w:top w:val="none" w:sz="0" w:space="0" w:color="auto"/>
            <w:left w:val="none" w:sz="0" w:space="0" w:color="auto"/>
            <w:bottom w:val="none" w:sz="0" w:space="0" w:color="auto"/>
            <w:right w:val="none" w:sz="0" w:space="0" w:color="auto"/>
          </w:divBdr>
        </w:div>
      </w:divsChild>
    </w:div>
    <w:div w:id="1486045099">
      <w:bodyDiv w:val="1"/>
      <w:marLeft w:val="0"/>
      <w:marRight w:val="0"/>
      <w:marTop w:val="0"/>
      <w:marBottom w:val="0"/>
      <w:divBdr>
        <w:top w:val="none" w:sz="0" w:space="0" w:color="auto"/>
        <w:left w:val="none" w:sz="0" w:space="0" w:color="auto"/>
        <w:bottom w:val="none" w:sz="0" w:space="0" w:color="auto"/>
        <w:right w:val="none" w:sz="0" w:space="0" w:color="auto"/>
      </w:divBdr>
      <w:divsChild>
        <w:div w:id="1692340276">
          <w:marLeft w:val="446"/>
          <w:marRight w:val="0"/>
          <w:marTop w:val="0"/>
          <w:marBottom w:val="0"/>
          <w:divBdr>
            <w:top w:val="none" w:sz="0" w:space="0" w:color="auto"/>
            <w:left w:val="none" w:sz="0" w:space="0" w:color="auto"/>
            <w:bottom w:val="none" w:sz="0" w:space="0" w:color="auto"/>
            <w:right w:val="none" w:sz="0" w:space="0" w:color="auto"/>
          </w:divBdr>
        </w:div>
        <w:div w:id="847671670">
          <w:marLeft w:val="446"/>
          <w:marRight w:val="0"/>
          <w:marTop w:val="0"/>
          <w:marBottom w:val="0"/>
          <w:divBdr>
            <w:top w:val="none" w:sz="0" w:space="0" w:color="auto"/>
            <w:left w:val="none" w:sz="0" w:space="0" w:color="auto"/>
            <w:bottom w:val="none" w:sz="0" w:space="0" w:color="auto"/>
            <w:right w:val="none" w:sz="0" w:space="0" w:color="auto"/>
          </w:divBdr>
        </w:div>
        <w:div w:id="1658997414">
          <w:marLeft w:val="1166"/>
          <w:marRight w:val="0"/>
          <w:marTop w:val="0"/>
          <w:marBottom w:val="0"/>
          <w:divBdr>
            <w:top w:val="none" w:sz="0" w:space="0" w:color="auto"/>
            <w:left w:val="none" w:sz="0" w:space="0" w:color="auto"/>
            <w:bottom w:val="none" w:sz="0" w:space="0" w:color="auto"/>
            <w:right w:val="none" w:sz="0" w:space="0" w:color="auto"/>
          </w:divBdr>
        </w:div>
        <w:div w:id="2013726675">
          <w:marLeft w:val="1166"/>
          <w:marRight w:val="0"/>
          <w:marTop w:val="0"/>
          <w:marBottom w:val="0"/>
          <w:divBdr>
            <w:top w:val="none" w:sz="0" w:space="0" w:color="auto"/>
            <w:left w:val="none" w:sz="0" w:space="0" w:color="auto"/>
            <w:bottom w:val="none" w:sz="0" w:space="0" w:color="auto"/>
            <w:right w:val="none" w:sz="0" w:space="0" w:color="auto"/>
          </w:divBdr>
        </w:div>
        <w:div w:id="855072686">
          <w:marLeft w:val="1166"/>
          <w:marRight w:val="0"/>
          <w:marTop w:val="0"/>
          <w:marBottom w:val="0"/>
          <w:divBdr>
            <w:top w:val="none" w:sz="0" w:space="0" w:color="auto"/>
            <w:left w:val="none" w:sz="0" w:space="0" w:color="auto"/>
            <w:bottom w:val="none" w:sz="0" w:space="0" w:color="auto"/>
            <w:right w:val="none" w:sz="0" w:space="0" w:color="auto"/>
          </w:divBdr>
        </w:div>
        <w:div w:id="32266836">
          <w:marLeft w:val="446"/>
          <w:marRight w:val="0"/>
          <w:marTop w:val="0"/>
          <w:marBottom w:val="0"/>
          <w:divBdr>
            <w:top w:val="none" w:sz="0" w:space="0" w:color="auto"/>
            <w:left w:val="none" w:sz="0" w:space="0" w:color="auto"/>
            <w:bottom w:val="none" w:sz="0" w:space="0" w:color="auto"/>
            <w:right w:val="none" w:sz="0" w:space="0" w:color="auto"/>
          </w:divBdr>
        </w:div>
      </w:divsChild>
    </w:div>
    <w:div w:id="1517235517">
      <w:bodyDiv w:val="1"/>
      <w:marLeft w:val="0"/>
      <w:marRight w:val="0"/>
      <w:marTop w:val="0"/>
      <w:marBottom w:val="0"/>
      <w:divBdr>
        <w:top w:val="none" w:sz="0" w:space="0" w:color="auto"/>
        <w:left w:val="none" w:sz="0" w:space="0" w:color="auto"/>
        <w:bottom w:val="none" w:sz="0" w:space="0" w:color="auto"/>
        <w:right w:val="none" w:sz="0" w:space="0" w:color="auto"/>
      </w:divBdr>
    </w:div>
    <w:div w:id="1864516611">
      <w:bodyDiv w:val="1"/>
      <w:marLeft w:val="0"/>
      <w:marRight w:val="0"/>
      <w:marTop w:val="0"/>
      <w:marBottom w:val="0"/>
      <w:divBdr>
        <w:top w:val="none" w:sz="0" w:space="0" w:color="auto"/>
        <w:left w:val="none" w:sz="0" w:space="0" w:color="auto"/>
        <w:bottom w:val="none" w:sz="0" w:space="0" w:color="auto"/>
        <w:right w:val="none" w:sz="0" w:space="0" w:color="auto"/>
      </w:divBdr>
    </w:div>
    <w:div w:id="1887446919">
      <w:bodyDiv w:val="1"/>
      <w:marLeft w:val="0"/>
      <w:marRight w:val="0"/>
      <w:marTop w:val="0"/>
      <w:marBottom w:val="0"/>
      <w:divBdr>
        <w:top w:val="none" w:sz="0" w:space="0" w:color="auto"/>
        <w:left w:val="none" w:sz="0" w:space="0" w:color="auto"/>
        <w:bottom w:val="none" w:sz="0" w:space="0" w:color="auto"/>
        <w:right w:val="none" w:sz="0" w:space="0" w:color="auto"/>
      </w:divBdr>
    </w:div>
    <w:div w:id="1936009753">
      <w:bodyDiv w:val="1"/>
      <w:marLeft w:val="0"/>
      <w:marRight w:val="0"/>
      <w:marTop w:val="0"/>
      <w:marBottom w:val="0"/>
      <w:divBdr>
        <w:top w:val="none" w:sz="0" w:space="0" w:color="auto"/>
        <w:left w:val="none" w:sz="0" w:space="0" w:color="auto"/>
        <w:bottom w:val="none" w:sz="0" w:space="0" w:color="auto"/>
        <w:right w:val="none" w:sz="0" w:space="0" w:color="auto"/>
      </w:divBdr>
      <w:divsChild>
        <w:div w:id="1439254800">
          <w:marLeft w:val="446"/>
          <w:marRight w:val="0"/>
          <w:marTop w:val="0"/>
          <w:marBottom w:val="0"/>
          <w:divBdr>
            <w:top w:val="none" w:sz="0" w:space="0" w:color="auto"/>
            <w:left w:val="none" w:sz="0" w:space="0" w:color="auto"/>
            <w:bottom w:val="none" w:sz="0" w:space="0" w:color="auto"/>
            <w:right w:val="none" w:sz="0" w:space="0" w:color="auto"/>
          </w:divBdr>
        </w:div>
        <w:div w:id="595141691">
          <w:marLeft w:val="446"/>
          <w:marRight w:val="0"/>
          <w:marTop w:val="0"/>
          <w:marBottom w:val="0"/>
          <w:divBdr>
            <w:top w:val="none" w:sz="0" w:space="0" w:color="auto"/>
            <w:left w:val="none" w:sz="0" w:space="0" w:color="auto"/>
            <w:bottom w:val="none" w:sz="0" w:space="0" w:color="auto"/>
            <w:right w:val="none" w:sz="0" w:space="0" w:color="auto"/>
          </w:divBdr>
        </w:div>
        <w:div w:id="1043365804">
          <w:marLeft w:val="1166"/>
          <w:marRight w:val="0"/>
          <w:marTop w:val="0"/>
          <w:marBottom w:val="0"/>
          <w:divBdr>
            <w:top w:val="none" w:sz="0" w:space="0" w:color="auto"/>
            <w:left w:val="none" w:sz="0" w:space="0" w:color="auto"/>
            <w:bottom w:val="none" w:sz="0" w:space="0" w:color="auto"/>
            <w:right w:val="none" w:sz="0" w:space="0" w:color="auto"/>
          </w:divBdr>
        </w:div>
        <w:div w:id="1321696681">
          <w:marLeft w:val="1166"/>
          <w:marRight w:val="0"/>
          <w:marTop w:val="0"/>
          <w:marBottom w:val="0"/>
          <w:divBdr>
            <w:top w:val="none" w:sz="0" w:space="0" w:color="auto"/>
            <w:left w:val="none" w:sz="0" w:space="0" w:color="auto"/>
            <w:bottom w:val="none" w:sz="0" w:space="0" w:color="auto"/>
            <w:right w:val="none" w:sz="0" w:space="0" w:color="auto"/>
          </w:divBdr>
        </w:div>
        <w:div w:id="668093335">
          <w:marLeft w:val="1166"/>
          <w:marRight w:val="0"/>
          <w:marTop w:val="0"/>
          <w:marBottom w:val="0"/>
          <w:divBdr>
            <w:top w:val="none" w:sz="0" w:space="0" w:color="auto"/>
            <w:left w:val="none" w:sz="0" w:space="0" w:color="auto"/>
            <w:bottom w:val="none" w:sz="0" w:space="0" w:color="auto"/>
            <w:right w:val="none" w:sz="0" w:space="0" w:color="auto"/>
          </w:divBdr>
        </w:div>
        <w:div w:id="466356688">
          <w:marLeft w:val="446"/>
          <w:marRight w:val="0"/>
          <w:marTop w:val="0"/>
          <w:marBottom w:val="0"/>
          <w:divBdr>
            <w:top w:val="none" w:sz="0" w:space="0" w:color="auto"/>
            <w:left w:val="none" w:sz="0" w:space="0" w:color="auto"/>
            <w:bottom w:val="none" w:sz="0" w:space="0" w:color="auto"/>
            <w:right w:val="none" w:sz="0" w:space="0" w:color="auto"/>
          </w:divBdr>
        </w:div>
      </w:divsChild>
    </w:div>
    <w:div w:id="1941719989">
      <w:bodyDiv w:val="1"/>
      <w:marLeft w:val="0"/>
      <w:marRight w:val="0"/>
      <w:marTop w:val="0"/>
      <w:marBottom w:val="0"/>
      <w:divBdr>
        <w:top w:val="none" w:sz="0" w:space="0" w:color="auto"/>
        <w:left w:val="none" w:sz="0" w:space="0" w:color="auto"/>
        <w:bottom w:val="none" w:sz="0" w:space="0" w:color="auto"/>
        <w:right w:val="none" w:sz="0" w:space="0" w:color="auto"/>
      </w:divBdr>
    </w:div>
    <w:div w:id="1969041354">
      <w:bodyDiv w:val="1"/>
      <w:marLeft w:val="0"/>
      <w:marRight w:val="0"/>
      <w:marTop w:val="0"/>
      <w:marBottom w:val="0"/>
      <w:divBdr>
        <w:top w:val="none" w:sz="0" w:space="0" w:color="auto"/>
        <w:left w:val="none" w:sz="0" w:space="0" w:color="auto"/>
        <w:bottom w:val="none" w:sz="0" w:space="0" w:color="auto"/>
        <w:right w:val="none" w:sz="0" w:space="0" w:color="auto"/>
      </w:divBdr>
    </w:div>
    <w:div w:id="1994598423">
      <w:bodyDiv w:val="1"/>
      <w:marLeft w:val="0"/>
      <w:marRight w:val="0"/>
      <w:marTop w:val="0"/>
      <w:marBottom w:val="0"/>
      <w:divBdr>
        <w:top w:val="none" w:sz="0" w:space="0" w:color="auto"/>
        <w:left w:val="none" w:sz="0" w:space="0" w:color="auto"/>
        <w:bottom w:val="none" w:sz="0" w:space="0" w:color="auto"/>
        <w:right w:val="none" w:sz="0" w:space="0" w:color="auto"/>
      </w:divBdr>
      <w:divsChild>
        <w:div w:id="353921050">
          <w:marLeft w:val="446"/>
          <w:marRight w:val="0"/>
          <w:marTop w:val="0"/>
          <w:marBottom w:val="0"/>
          <w:divBdr>
            <w:top w:val="none" w:sz="0" w:space="0" w:color="auto"/>
            <w:left w:val="none" w:sz="0" w:space="0" w:color="auto"/>
            <w:bottom w:val="none" w:sz="0" w:space="0" w:color="auto"/>
            <w:right w:val="none" w:sz="0" w:space="0" w:color="auto"/>
          </w:divBdr>
        </w:div>
        <w:div w:id="527378242">
          <w:marLeft w:val="1166"/>
          <w:marRight w:val="0"/>
          <w:marTop w:val="0"/>
          <w:marBottom w:val="0"/>
          <w:divBdr>
            <w:top w:val="none" w:sz="0" w:space="0" w:color="auto"/>
            <w:left w:val="none" w:sz="0" w:space="0" w:color="auto"/>
            <w:bottom w:val="none" w:sz="0" w:space="0" w:color="auto"/>
            <w:right w:val="none" w:sz="0" w:space="0" w:color="auto"/>
          </w:divBdr>
        </w:div>
        <w:div w:id="937450027">
          <w:marLeft w:val="1166"/>
          <w:marRight w:val="0"/>
          <w:marTop w:val="0"/>
          <w:marBottom w:val="0"/>
          <w:divBdr>
            <w:top w:val="none" w:sz="0" w:space="0" w:color="auto"/>
            <w:left w:val="none" w:sz="0" w:space="0" w:color="auto"/>
            <w:bottom w:val="none" w:sz="0" w:space="0" w:color="auto"/>
            <w:right w:val="none" w:sz="0" w:space="0" w:color="auto"/>
          </w:divBdr>
        </w:div>
        <w:div w:id="522943656">
          <w:marLeft w:val="1166"/>
          <w:marRight w:val="0"/>
          <w:marTop w:val="0"/>
          <w:marBottom w:val="0"/>
          <w:divBdr>
            <w:top w:val="none" w:sz="0" w:space="0" w:color="auto"/>
            <w:left w:val="none" w:sz="0" w:space="0" w:color="auto"/>
            <w:bottom w:val="none" w:sz="0" w:space="0" w:color="auto"/>
            <w:right w:val="none" w:sz="0" w:space="0" w:color="auto"/>
          </w:divBdr>
        </w:div>
      </w:divsChild>
    </w:div>
    <w:div w:id="2074816193">
      <w:bodyDiv w:val="1"/>
      <w:marLeft w:val="0"/>
      <w:marRight w:val="0"/>
      <w:marTop w:val="0"/>
      <w:marBottom w:val="0"/>
      <w:divBdr>
        <w:top w:val="none" w:sz="0" w:space="0" w:color="auto"/>
        <w:left w:val="none" w:sz="0" w:space="0" w:color="auto"/>
        <w:bottom w:val="none" w:sz="0" w:space="0" w:color="auto"/>
        <w:right w:val="none" w:sz="0" w:space="0" w:color="auto"/>
      </w:divBdr>
    </w:div>
    <w:div w:id="2109693068">
      <w:bodyDiv w:val="1"/>
      <w:marLeft w:val="0"/>
      <w:marRight w:val="0"/>
      <w:marTop w:val="0"/>
      <w:marBottom w:val="0"/>
      <w:divBdr>
        <w:top w:val="none" w:sz="0" w:space="0" w:color="auto"/>
        <w:left w:val="none" w:sz="0" w:space="0" w:color="auto"/>
        <w:bottom w:val="none" w:sz="0" w:space="0" w:color="auto"/>
        <w:right w:val="none" w:sz="0" w:space="0" w:color="auto"/>
      </w:divBdr>
      <w:divsChild>
        <w:div w:id="207645193">
          <w:marLeft w:val="994"/>
          <w:marRight w:val="0"/>
          <w:marTop w:val="6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pc.navy.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lconnect.dmdc.osd.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87B004060F945B5C76AB39152E3E3" ma:contentTypeVersion="1" ma:contentTypeDescription="Create a new document." ma:contentTypeScope="" ma:versionID="c72c997d507942cd3c3545bb435c0055">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6842-7517-4A1A-AC58-E0F67ABD83B8}">
  <ds:schemaRefs>
    <ds:schemaRef ds:uri="http://schemas.microsoft.com/sharepoint/v3/contenttype/forms"/>
  </ds:schemaRefs>
</ds:datastoreItem>
</file>

<file path=customXml/itemProps2.xml><?xml version="1.0" encoding="utf-8"?>
<ds:datastoreItem xmlns:ds="http://schemas.openxmlformats.org/officeDocument/2006/customXml" ds:itemID="{90C2B7A2-BE89-4C6B-B196-EE7652CB4C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DD529A-1A63-4CAB-837D-8C40E9EC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9DAD0-8A11-4D58-8707-054EB31A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Sharon CIV</dc:creator>
  <cp:lastModifiedBy>Miller, Barbara A CIV PERS-314</cp:lastModifiedBy>
  <cp:revision>2</cp:revision>
  <cp:lastPrinted>2018-07-13T14:36:00Z</cp:lastPrinted>
  <dcterms:created xsi:type="dcterms:W3CDTF">2021-01-21T22:22:00Z</dcterms:created>
  <dcterms:modified xsi:type="dcterms:W3CDTF">2021-01-21T22:22:00Z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0x0101004E187B004060F945B5C76AB39152E3E3</vt:lpwstr>
  </property>
</Properties>
</file>